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A26273" w14:textId="0A30B5E7" w:rsidR="00E6385A" w:rsidRPr="00D7150D" w:rsidRDefault="00E6385A" w:rsidP="00D7150D">
      <w:pPr>
        <w:pStyle w:val="Heading1"/>
        <w:jc w:val="right"/>
        <w:rPr>
          <w:sz w:val="48"/>
          <w:szCs w:val="48"/>
        </w:rPr>
      </w:pPr>
      <w:bookmarkStart w:id="0" w:name="_Toc153189647"/>
      <w:r w:rsidRPr="00D7150D">
        <w:rPr>
          <w:sz w:val="48"/>
          <w:szCs w:val="48"/>
        </w:rPr>
        <w:t xml:space="preserve">Short Form </w:t>
      </w:r>
      <w:r w:rsidR="00F117C6" w:rsidRPr="00D7150D">
        <w:rPr>
          <w:sz w:val="48"/>
          <w:szCs w:val="48"/>
        </w:rPr>
        <w:t>Work Paper</w:t>
      </w:r>
      <w:r w:rsidRPr="00D7150D">
        <w:rPr>
          <w:sz w:val="48"/>
          <w:szCs w:val="48"/>
        </w:rPr>
        <w:t xml:space="preserve"> </w:t>
      </w:r>
      <w:r w:rsidR="007406FA" w:rsidRPr="00D7150D">
        <w:rPr>
          <w:sz w:val="48"/>
          <w:szCs w:val="48"/>
        </w:rPr>
        <w:t>PGECOFST129 R0</w:t>
      </w:r>
    </w:p>
    <w:bookmarkEnd w:id="0"/>
    <w:p w14:paraId="11A26274" w14:textId="77777777" w:rsidR="00F117C6" w:rsidRPr="00500C4E" w:rsidRDefault="00F117C6" w:rsidP="00F117C6">
      <w:pPr>
        <w:jc w:val="right"/>
        <w:rPr>
          <w:rFonts w:cstheme="minorHAnsi"/>
          <w:b/>
          <w:sz w:val="48"/>
          <w:szCs w:val="48"/>
        </w:rPr>
      </w:pPr>
    </w:p>
    <w:p w14:paraId="11A26275" w14:textId="77777777" w:rsidR="00E6385A" w:rsidRPr="00E6385A" w:rsidRDefault="00251156" w:rsidP="00E6385A">
      <w:pPr>
        <w:pBdr>
          <w:bottom w:val="single" w:sz="4" w:space="1" w:color="auto"/>
        </w:pBdr>
        <w:rPr>
          <w:rFonts w:cstheme="minorHAnsi"/>
          <w:b/>
          <w:sz w:val="36"/>
          <w:szCs w:val="36"/>
        </w:rPr>
      </w:pPr>
      <w:r>
        <w:rPr>
          <w:rFonts w:cstheme="minorHAnsi"/>
          <w:b/>
          <w:sz w:val="36"/>
          <w:szCs w:val="36"/>
        </w:rPr>
        <w:t>Pacific</w:t>
      </w:r>
      <w:r w:rsidR="006875B3">
        <w:rPr>
          <w:rFonts w:cstheme="minorHAnsi"/>
          <w:b/>
          <w:sz w:val="36"/>
          <w:szCs w:val="36"/>
        </w:rPr>
        <w:t xml:space="preserve"> Gas &amp; Electric</w:t>
      </w:r>
    </w:p>
    <w:p w14:paraId="11A26276" w14:textId="77777777" w:rsidR="00E6385A" w:rsidRPr="00E6385A" w:rsidRDefault="00251156" w:rsidP="00E6385A">
      <w:pPr>
        <w:rPr>
          <w:rFonts w:cstheme="minorHAnsi"/>
          <w:b/>
          <w:sz w:val="32"/>
        </w:rPr>
      </w:pPr>
      <w:r>
        <w:rPr>
          <w:rFonts w:cstheme="minorHAnsi"/>
          <w:b/>
          <w:sz w:val="32"/>
        </w:rPr>
        <w:t>Customer Energy Solutions</w:t>
      </w:r>
    </w:p>
    <w:p w14:paraId="11A26277" w14:textId="77777777" w:rsidR="00F117C6" w:rsidRPr="00500C4E" w:rsidRDefault="00F117C6" w:rsidP="00F117C6">
      <w:pPr>
        <w:rPr>
          <w:rFonts w:cstheme="minorHAnsi"/>
        </w:rPr>
      </w:pPr>
    </w:p>
    <w:p w14:paraId="11A26278" w14:textId="77777777" w:rsidR="00F117C6" w:rsidRPr="00500C4E" w:rsidRDefault="00F117C6" w:rsidP="00F117C6">
      <w:pPr>
        <w:tabs>
          <w:tab w:val="left" w:pos="8190"/>
        </w:tabs>
        <w:rPr>
          <w:rFonts w:cstheme="minorHAnsi"/>
        </w:rPr>
      </w:pPr>
      <w:r w:rsidRPr="00500C4E">
        <w:rPr>
          <w:rFonts w:cstheme="minorHAnsi"/>
        </w:rPr>
        <w:tab/>
      </w:r>
    </w:p>
    <w:p w14:paraId="11A26279" w14:textId="77777777" w:rsidR="00F117C6" w:rsidRPr="00500C4E" w:rsidRDefault="00F117C6" w:rsidP="00F117C6">
      <w:pPr>
        <w:rPr>
          <w:rFonts w:cstheme="minorHAnsi"/>
        </w:rPr>
      </w:pPr>
    </w:p>
    <w:p w14:paraId="11A2627A" w14:textId="77777777" w:rsidR="00F117C6" w:rsidRPr="00500C4E" w:rsidRDefault="00F117C6" w:rsidP="00F117C6">
      <w:pPr>
        <w:rPr>
          <w:rFonts w:cstheme="minorHAnsi"/>
        </w:rPr>
      </w:pPr>
    </w:p>
    <w:p w14:paraId="11A2627B" w14:textId="77777777" w:rsidR="00F117C6" w:rsidRPr="00500C4E" w:rsidRDefault="00F117C6" w:rsidP="00F117C6">
      <w:pPr>
        <w:rPr>
          <w:rFonts w:cstheme="minorHAnsi"/>
        </w:rPr>
      </w:pPr>
    </w:p>
    <w:p w14:paraId="11A2627C" w14:textId="77777777" w:rsidR="00F117C6" w:rsidRPr="00500C4E" w:rsidRDefault="00F117C6" w:rsidP="00F117C6">
      <w:pPr>
        <w:rPr>
          <w:rFonts w:cstheme="minorHAnsi"/>
        </w:rPr>
      </w:pPr>
    </w:p>
    <w:p w14:paraId="11A2627D" w14:textId="77777777" w:rsidR="00F117C6" w:rsidRPr="00500C4E" w:rsidRDefault="00F117C6" w:rsidP="00F117C6">
      <w:pPr>
        <w:rPr>
          <w:rFonts w:cstheme="minorHAnsi"/>
        </w:rPr>
      </w:pPr>
    </w:p>
    <w:p w14:paraId="11A2627E" w14:textId="394C8F19" w:rsidR="000E19CA" w:rsidRDefault="007406FA" w:rsidP="00884B9C">
      <w:pPr>
        <w:rPr>
          <w:rFonts w:cstheme="minorHAnsi"/>
          <w:b/>
          <w:sz w:val="28"/>
          <w:szCs w:val="28"/>
        </w:rPr>
      </w:pPr>
      <w:r>
        <w:rPr>
          <w:rFonts w:cstheme="minorHAnsi"/>
          <w:b/>
          <w:sz w:val="72"/>
          <w:szCs w:val="72"/>
        </w:rPr>
        <w:t>Commercial Conveyor Broiler</w:t>
      </w:r>
    </w:p>
    <w:p w14:paraId="11A2627F" w14:textId="77777777" w:rsidR="000E19CA" w:rsidRDefault="000E19CA" w:rsidP="000E19CA">
      <w:pPr>
        <w:jc w:val="right"/>
        <w:rPr>
          <w:rFonts w:cstheme="minorHAnsi"/>
          <w:b/>
          <w:sz w:val="28"/>
          <w:szCs w:val="28"/>
        </w:rPr>
      </w:pPr>
    </w:p>
    <w:p w14:paraId="11A26280" w14:textId="77777777" w:rsidR="000E19CA" w:rsidRDefault="000E19CA" w:rsidP="000E19CA">
      <w:pPr>
        <w:jc w:val="right"/>
        <w:rPr>
          <w:rFonts w:cstheme="minorHAnsi"/>
          <w:b/>
          <w:sz w:val="28"/>
          <w:szCs w:val="28"/>
        </w:rPr>
      </w:pPr>
    </w:p>
    <w:p w14:paraId="11A26281" w14:textId="77777777" w:rsidR="000E19CA" w:rsidRDefault="000E19CA" w:rsidP="000E19CA">
      <w:pPr>
        <w:jc w:val="right"/>
        <w:rPr>
          <w:rFonts w:cstheme="minorHAnsi"/>
          <w:b/>
          <w:sz w:val="28"/>
          <w:szCs w:val="28"/>
        </w:rPr>
      </w:pPr>
    </w:p>
    <w:p w14:paraId="11A26282" w14:textId="77777777" w:rsidR="000E19CA" w:rsidRDefault="000E19CA" w:rsidP="000E19CA">
      <w:pPr>
        <w:jc w:val="right"/>
        <w:rPr>
          <w:rFonts w:cstheme="minorHAnsi"/>
          <w:b/>
          <w:sz w:val="28"/>
          <w:szCs w:val="28"/>
        </w:rPr>
      </w:pPr>
    </w:p>
    <w:p w14:paraId="11A26283" w14:textId="77777777" w:rsidR="000E19CA" w:rsidRDefault="000E19CA" w:rsidP="000E19CA">
      <w:pPr>
        <w:jc w:val="right"/>
        <w:rPr>
          <w:rFonts w:cstheme="minorHAnsi"/>
          <w:b/>
          <w:sz w:val="28"/>
          <w:szCs w:val="28"/>
        </w:rPr>
      </w:pPr>
    </w:p>
    <w:p w14:paraId="11A26284" w14:textId="77777777" w:rsidR="000E19CA" w:rsidRDefault="000E19CA" w:rsidP="000E19CA">
      <w:pPr>
        <w:jc w:val="right"/>
        <w:rPr>
          <w:rFonts w:cstheme="minorHAnsi"/>
          <w:b/>
          <w:sz w:val="28"/>
          <w:szCs w:val="28"/>
        </w:rPr>
      </w:pPr>
    </w:p>
    <w:p w14:paraId="11A26285" w14:textId="77777777" w:rsidR="000E19CA" w:rsidRDefault="000E19CA" w:rsidP="000E19CA">
      <w:pPr>
        <w:jc w:val="right"/>
        <w:rPr>
          <w:rFonts w:cstheme="minorHAnsi"/>
          <w:b/>
          <w:sz w:val="28"/>
          <w:szCs w:val="28"/>
        </w:rPr>
      </w:pPr>
    </w:p>
    <w:p w14:paraId="11A26286" w14:textId="77777777" w:rsidR="000E19CA" w:rsidRDefault="000E19CA" w:rsidP="000E19CA">
      <w:pPr>
        <w:jc w:val="right"/>
        <w:rPr>
          <w:rFonts w:cstheme="minorHAnsi"/>
          <w:b/>
          <w:sz w:val="28"/>
          <w:szCs w:val="28"/>
        </w:rPr>
      </w:pPr>
    </w:p>
    <w:p w14:paraId="11A26287" w14:textId="77777777" w:rsidR="000E19CA" w:rsidRDefault="000E19CA" w:rsidP="000E19CA">
      <w:pPr>
        <w:jc w:val="right"/>
        <w:rPr>
          <w:rFonts w:cstheme="minorHAnsi"/>
          <w:b/>
          <w:sz w:val="28"/>
          <w:szCs w:val="28"/>
        </w:rPr>
      </w:pPr>
    </w:p>
    <w:p w14:paraId="11A26288" w14:textId="77777777" w:rsidR="000E19CA" w:rsidRDefault="000E19CA" w:rsidP="000E19CA">
      <w:pPr>
        <w:jc w:val="right"/>
        <w:rPr>
          <w:rFonts w:cstheme="minorHAnsi"/>
          <w:b/>
          <w:sz w:val="28"/>
          <w:szCs w:val="28"/>
        </w:rPr>
      </w:pPr>
    </w:p>
    <w:p w14:paraId="11A26289" w14:textId="77777777" w:rsidR="000E19CA" w:rsidRDefault="000E19CA" w:rsidP="000E19CA">
      <w:pPr>
        <w:jc w:val="right"/>
        <w:rPr>
          <w:rFonts w:cstheme="minorHAnsi"/>
          <w:b/>
          <w:sz w:val="28"/>
          <w:szCs w:val="28"/>
        </w:rPr>
      </w:pPr>
    </w:p>
    <w:p w14:paraId="11A2628A" w14:textId="77777777" w:rsidR="000E19CA" w:rsidRDefault="000E19CA" w:rsidP="000E19CA">
      <w:pPr>
        <w:jc w:val="right"/>
        <w:rPr>
          <w:rFonts w:cstheme="minorHAnsi"/>
          <w:b/>
          <w:sz w:val="28"/>
          <w:szCs w:val="28"/>
        </w:rPr>
      </w:pPr>
    </w:p>
    <w:p w14:paraId="11A2628B" w14:textId="77777777" w:rsidR="000E19CA" w:rsidRDefault="000E19CA" w:rsidP="000E19CA">
      <w:pPr>
        <w:jc w:val="right"/>
        <w:rPr>
          <w:rFonts w:cstheme="minorHAnsi"/>
          <w:b/>
          <w:sz w:val="28"/>
          <w:szCs w:val="28"/>
        </w:rPr>
      </w:pPr>
    </w:p>
    <w:p w14:paraId="11A2628C" w14:textId="77777777" w:rsidR="000E19CA" w:rsidRDefault="000E19CA" w:rsidP="000E19CA">
      <w:pPr>
        <w:jc w:val="right"/>
        <w:rPr>
          <w:rFonts w:cstheme="minorHAnsi"/>
          <w:b/>
          <w:sz w:val="28"/>
          <w:szCs w:val="28"/>
        </w:rPr>
      </w:pPr>
    </w:p>
    <w:p w14:paraId="11A2628D" w14:textId="77777777" w:rsidR="000E19CA" w:rsidRDefault="000E19CA" w:rsidP="000E19CA">
      <w:pPr>
        <w:jc w:val="right"/>
        <w:rPr>
          <w:rFonts w:cstheme="minorHAnsi"/>
          <w:b/>
          <w:sz w:val="28"/>
          <w:szCs w:val="28"/>
        </w:rPr>
      </w:pPr>
    </w:p>
    <w:p w14:paraId="11A2628E" w14:textId="77777777" w:rsidR="00E372B8" w:rsidRDefault="00E372B8" w:rsidP="000E19CA">
      <w:pPr>
        <w:jc w:val="right"/>
        <w:rPr>
          <w:rFonts w:cstheme="minorHAnsi"/>
          <w:b/>
          <w:sz w:val="28"/>
          <w:szCs w:val="28"/>
        </w:rPr>
      </w:pPr>
    </w:p>
    <w:p w14:paraId="11A2628F" w14:textId="77777777" w:rsidR="00E372B8" w:rsidRDefault="00E372B8" w:rsidP="00241A1F">
      <w:pPr>
        <w:jc w:val="right"/>
        <w:rPr>
          <w:rFonts w:cstheme="minorHAnsi"/>
          <w:b/>
          <w:sz w:val="28"/>
          <w:szCs w:val="28"/>
        </w:rPr>
      </w:pPr>
    </w:p>
    <w:p w14:paraId="11A26290" w14:textId="77777777" w:rsidR="00E372B8" w:rsidRPr="000F72EF" w:rsidRDefault="00E372B8" w:rsidP="00241A1F">
      <w:pPr>
        <w:jc w:val="right"/>
        <w:rPr>
          <w:rFonts w:cstheme="minorHAnsi"/>
          <w:b/>
          <w:sz w:val="72"/>
          <w:szCs w:val="72"/>
        </w:rPr>
        <w:sectPr w:rsidR="00E372B8" w:rsidRPr="000F72EF" w:rsidSect="00241A1F">
          <w:footerReference w:type="default" r:id="rId13"/>
          <w:footerReference w:type="first" r:id="rId14"/>
          <w:pgSz w:w="12240" w:h="15840"/>
          <w:pgMar w:top="1440" w:right="1440" w:bottom="1440" w:left="1440" w:header="720" w:footer="720" w:gutter="0"/>
          <w:cols w:space="720"/>
          <w:titlePg/>
          <w:docGrid w:linePitch="360"/>
        </w:sectPr>
      </w:pPr>
    </w:p>
    <w:p w14:paraId="11A26291" w14:textId="0DFB552A" w:rsidR="00FE520B" w:rsidRDefault="00435DC7" w:rsidP="00FE520B">
      <w:pPr>
        <w:pStyle w:val="Heading1"/>
      </w:pPr>
      <w:r>
        <w:lastRenderedPageBreak/>
        <w:t>P</w:t>
      </w:r>
      <w:r w:rsidR="0059117D">
        <w:t xml:space="preserve">G&amp;E </w:t>
      </w:r>
      <w:r w:rsidR="00323C28">
        <w:t>C</w:t>
      </w:r>
      <w:r w:rsidR="007A2F86">
        <w:t>ommercial CONVEYOR BROILERS</w:t>
      </w:r>
    </w:p>
    <w:p w14:paraId="11A26292" w14:textId="77777777" w:rsidR="00413EF4" w:rsidRDefault="00413EF4" w:rsidP="00413EF4">
      <w:pPr>
        <w:pStyle w:val="Heading2"/>
      </w:pPr>
      <w:r>
        <w:t>Introduction</w:t>
      </w:r>
    </w:p>
    <w:p w14:paraId="11A26293" w14:textId="24213AD8" w:rsidR="005E18A1" w:rsidRDefault="00C23CAB" w:rsidP="00555671">
      <w:pPr>
        <w:jc w:val="both"/>
      </w:pPr>
      <w:r>
        <w:t>This short form workpaper documents (</w:t>
      </w:r>
      <w:r w:rsidR="008E5CD5">
        <w:t>WP</w:t>
      </w:r>
      <w:r>
        <w:t xml:space="preserve">) the values adopted from </w:t>
      </w:r>
      <w:r w:rsidR="00282AAF">
        <w:t>SCG</w:t>
      </w:r>
      <w:r>
        <w:t xml:space="preserve">’s </w:t>
      </w:r>
      <w:r w:rsidR="008E5CD5">
        <w:t>WP</w:t>
      </w:r>
      <w:r>
        <w:t xml:space="preserve"> entitled “</w:t>
      </w:r>
      <w:r w:rsidR="009269CE">
        <w:t xml:space="preserve">Commercial </w:t>
      </w:r>
      <w:r w:rsidR="007A2F86">
        <w:t>Conveyor Broilers</w:t>
      </w:r>
      <w:r w:rsidR="005E18A1">
        <w:t>” (</w:t>
      </w:r>
      <w:r w:rsidR="007A2F86">
        <w:t>WPSCGNRCC171226A</w:t>
      </w:r>
      <w:r w:rsidR="008C674A">
        <w:t xml:space="preserve"> Rev 0</w:t>
      </w:r>
      <w:r w:rsidR="004016D3" w:rsidRPr="004016D3">
        <w:t xml:space="preserve"> </w:t>
      </w:r>
      <w:r w:rsidR="007A2F86">
        <w:t>WPSCGNRCC171226A_Rev00</w:t>
      </w:r>
      <w:r w:rsidR="004016D3" w:rsidRPr="004016D3">
        <w:t>.docx</w:t>
      </w:r>
      <w:r w:rsidR="006875B3">
        <w:t>)</w:t>
      </w:r>
      <w:r w:rsidR="00454489">
        <w:t>. P</w:t>
      </w:r>
      <w:r w:rsidR="005E18A1">
        <w:t xml:space="preserve">G&amp;E </w:t>
      </w:r>
      <w:r w:rsidR="00555671">
        <w:t>a</w:t>
      </w:r>
      <w:r w:rsidR="005E18A1">
        <w:t>d</w:t>
      </w:r>
      <w:r w:rsidR="00555671">
        <w:t>op</w:t>
      </w:r>
      <w:r w:rsidR="007A2F86">
        <w:t xml:space="preserve">ts all </w:t>
      </w:r>
      <w:r w:rsidR="005E18A1">
        <w:t xml:space="preserve">of the values in </w:t>
      </w:r>
      <w:r w:rsidR="007A2F86">
        <w:t>WPSCGNRCC171226A</w:t>
      </w:r>
      <w:r w:rsidR="00454489">
        <w:t xml:space="preserve"> Rev 0</w:t>
      </w:r>
      <w:r w:rsidR="00454489" w:rsidRPr="004016D3">
        <w:t xml:space="preserve"> </w:t>
      </w:r>
      <w:r w:rsidR="007A2F86">
        <w:t>Commercial Conveyor Broilers</w:t>
      </w:r>
      <w:r w:rsidR="005E18A1">
        <w:t>, with</w:t>
      </w:r>
      <w:r w:rsidR="009269CE">
        <w:t xml:space="preserve"> </w:t>
      </w:r>
      <w:r w:rsidR="001F1328">
        <w:t xml:space="preserve">some </w:t>
      </w:r>
      <w:r w:rsidR="009269CE">
        <w:t>exceptions.</w:t>
      </w:r>
    </w:p>
    <w:p w14:paraId="11A26294" w14:textId="77777777" w:rsidR="005E18A1" w:rsidRDefault="005E18A1" w:rsidP="00555671">
      <w:pPr>
        <w:jc w:val="both"/>
      </w:pPr>
    </w:p>
    <w:p w14:paraId="11A26295" w14:textId="77777777" w:rsidR="00B57F32" w:rsidRDefault="00B57F32" w:rsidP="00B57F32">
      <w:pPr>
        <w:pStyle w:val="Heading2"/>
      </w:pPr>
      <w:r w:rsidRPr="005734A4">
        <w:t>Document Revision History</w:t>
      </w:r>
      <w:r w:rsidRPr="0025216C">
        <w:t xml:space="preserve"> </w:t>
      </w:r>
    </w:p>
    <w:tbl>
      <w:tblPr>
        <w:tblStyle w:val="TableGrid11"/>
        <w:tblW w:w="4991" w:type="pct"/>
        <w:tblLayout w:type="fixed"/>
        <w:tblLook w:val="01E0" w:firstRow="1" w:lastRow="1" w:firstColumn="1" w:lastColumn="1" w:noHBand="0" w:noVBand="0"/>
      </w:tblPr>
      <w:tblGrid>
        <w:gridCol w:w="526"/>
        <w:gridCol w:w="1269"/>
        <w:gridCol w:w="1642"/>
        <w:gridCol w:w="6122"/>
      </w:tblGrid>
      <w:tr w:rsidR="00E52110" w:rsidRPr="00500C4E" w14:paraId="11A2629A" w14:textId="77777777" w:rsidTr="006D07B7">
        <w:trPr>
          <w:trHeight w:val="20"/>
        </w:trPr>
        <w:tc>
          <w:tcPr>
            <w:tcW w:w="275" w:type="pct"/>
            <w:shd w:val="clear" w:color="auto" w:fill="D9D9D9" w:themeFill="background1" w:themeFillShade="D9"/>
          </w:tcPr>
          <w:p w14:paraId="11A26296" w14:textId="77777777" w:rsidR="00B57F32" w:rsidRPr="000E2B6B" w:rsidRDefault="00B57F32" w:rsidP="002A7EFE">
            <w:pPr>
              <w:rPr>
                <w:bCs/>
              </w:rPr>
            </w:pPr>
            <w:r w:rsidRPr="000E2B6B">
              <w:t>Rev</w:t>
            </w:r>
          </w:p>
        </w:tc>
        <w:tc>
          <w:tcPr>
            <w:tcW w:w="664" w:type="pct"/>
            <w:shd w:val="clear" w:color="auto" w:fill="D9D9D9" w:themeFill="background1" w:themeFillShade="D9"/>
          </w:tcPr>
          <w:p w14:paraId="11A26297" w14:textId="77777777" w:rsidR="00B57F32" w:rsidRPr="000E2B6B" w:rsidRDefault="00B57F32" w:rsidP="002A7EFE">
            <w:pPr>
              <w:rPr>
                <w:bCs/>
              </w:rPr>
            </w:pPr>
            <w:r w:rsidRPr="000E2B6B">
              <w:t>Date</w:t>
            </w:r>
          </w:p>
        </w:tc>
        <w:tc>
          <w:tcPr>
            <w:tcW w:w="859" w:type="pct"/>
            <w:shd w:val="clear" w:color="auto" w:fill="D9D9D9" w:themeFill="background1" w:themeFillShade="D9"/>
          </w:tcPr>
          <w:p w14:paraId="11A26298" w14:textId="77777777" w:rsidR="00B57F32" w:rsidRPr="000E2B6B" w:rsidRDefault="00B57F32" w:rsidP="002A7EFE">
            <w:pPr>
              <w:rPr>
                <w:bCs/>
              </w:rPr>
            </w:pPr>
            <w:r w:rsidRPr="000E2B6B">
              <w:t>Author</w:t>
            </w:r>
          </w:p>
        </w:tc>
        <w:tc>
          <w:tcPr>
            <w:tcW w:w="3202" w:type="pct"/>
            <w:shd w:val="clear" w:color="auto" w:fill="D9D9D9" w:themeFill="background1" w:themeFillShade="D9"/>
          </w:tcPr>
          <w:p w14:paraId="11A26299" w14:textId="77777777" w:rsidR="00B57F32" w:rsidRPr="000E2B6B" w:rsidRDefault="00B57F32" w:rsidP="002A7EFE">
            <w:pPr>
              <w:rPr>
                <w:bCs/>
              </w:rPr>
            </w:pPr>
            <w:r w:rsidRPr="000E2B6B">
              <w:t>Summary of Changes</w:t>
            </w:r>
          </w:p>
        </w:tc>
      </w:tr>
      <w:tr w:rsidR="00E52110" w:rsidRPr="00500C4E" w14:paraId="11A262A0" w14:textId="77777777" w:rsidTr="006D07B7">
        <w:trPr>
          <w:trHeight w:val="20"/>
        </w:trPr>
        <w:tc>
          <w:tcPr>
            <w:tcW w:w="275" w:type="pct"/>
          </w:tcPr>
          <w:p w14:paraId="11A2629B" w14:textId="77777777" w:rsidR="00884B9C" w:rsidRPr="000E2B6B" w:rsidRDefault="00762D81">
            <w:pPr>
              <w:jc w:val="center"/>
              <w:rPr>
                <w:rFonts w:cstheme="minorHAnsi"/>
                <w:szCs w:val="20"/>
              </w:rPr>
            </w:pPr>
            <w:r>
              <w:t>0</w:t>
            </w:r>
          </w:p>
        </w:tc>
        <w:tc>
          <w:tcPr>
            <w:tcW w:w="664" w:type="pct"/>
          </w:tcPr>
          <w:p w14:paraId="11A2629C" w14:textId="7E9CCA12" w:rsidR="00884B9C" w:rsidRPr="000E2B6B" w:rsidRDefault="00282AAF" w:rsidP="002A7EFE">
            <w:pPr>
              <w:jc w:val="center"/>
              <w:rPr>
                <w:rFonts w:cstheme="minorHAnsi"/>
                <w:szCs w:val="20"/>
              </w:rPr>
            </w:pPr>
            <w:r>
              <w:rPr>
                <w:rFonts w:cstheme="minorHAnsi"/>
                <w:szCs w:val="20"/>
              </w:rPr>
              <w:t>06/04/2018</w:t>
            </w:r>
          </w:p>
        </w:tc>
        <w:tc>
          <w:tcPr>
            <w:tcW w:w="859" w:type="pct"/>
          </w:tcPr>
          <w:p w14:paraId="11A2629E" w14:textId="6ED43806" w:rsidR="00884B9C" w:rsidRPr="000E2B6B" w:rsidRDefault="00282AAF" w:rsidP="002A7EFE">
            <w:pPr>
              <w:rPr>
                <w:rFonts w:cstheme="minorHAnsi"/>
                <w:szCs w:val="20"/>
              </w:rPr>
            </w:pPr>
            <w:r>
              <w:rPr>
                <w:rFonts w:cstheme="minorHAnsi"/>
                <w:szCs w:val="20"/>
              </w:rPr>
              <w:t>Steve Fok (PG&amp;E)</w:t>
            </w:r>
          </w:p>
        </w:tc>
        <w:tc>
          <w:tcPr>
            <w:tcW w:w="3202" w:type="pct"/>
          </w:tcPr>
          <w:p w14:paraId="11A2629F" w14:textId="60799755" w:rsidR="00884B9C" w:rsidRPr="005734A4" w:rsidRDefault="00282AAF" w:rsidP="00FD292E">
            <w:pPr>
              <w:rPr>
                <w:rFonts w:cstheme="minorHAnsi"/>
                <w:szCs w:val="20"/>
              </w:rPr>
            </w:pPr>
            <w:r>
              <w:rPr>
                <w:rFonts w:ascii="Calibri" w:hAnsi="Calibri" w:cs="Calibri"/>
                <w:szCs w:val="20"/>
              </w:rPr>
              <w:t xml:space="preserve">Adopted SCG </w:t>
            </w:r>
            <w:r w:rsidR="00334386">
              <w:rPr>
                <w:rFonts w:ascii="Calibri" w:hAnsi="Calibri" w:cs="Calibri"/>
                <w:szCs w:val="20"/>
              </w:rPr>
              <w:t xml:space="preserve">Workpaper </w:t>
            </w:r>
            <w:r>
              <w:t>WPSCGNRCC171226A Rev 0 dated December 28, 2017 (</w:t>
            </w:r>
            <w:r>
              <w:rPr>
                <w:rFonts w:ascii="Calibri" w:hAnsi="Calibri" w:cs="Calibri"/>
                <w:szCs w:val="20"/>
              </w:rPr>
              <w:t xml:space="preserve">authored by Denis Livchak and created by </w:t>
            </w:r>
            <w:r w:rsidR="00334386">
              <w:rPr>
                <w:rFonts w:ascii="Calibri" w:hAnsi="Calibri" w:cs="Calibri"/>
                <w:szCs w:val="20"/>
              </w:rPr>
              <w:t>Frontier Energy)</w:t>
            </w:r>
            <w:r>
              <w:rPr>
                <w:rFonts w:ascii="Calibri" w:hAnsi="Calibri" w:cs="Calibri"/>
                <w:szCs w:val="20"/>
              </w:rPr>
              <w:t xml:space="preserve"> with minor changes.</w:t>
            </w:r>
          </w:p>
        </w:tc>
      </w:tr>
      <w:tr w:rsidR="00E52110" w:rsidRPr="00500C4E" w14:paraId="11A262A5" w14:textId="77777777" w:rsidTr="006D07B7">
        <w:trPr>
          <w:trHeight w:val="20"/>
        </w:trPr>
        <w:tc>
          <w:tcPr>
            <w:tcW w:w="275" w:type="pct"/>
          </w:tcPr>
          <w:p w14:paraId="11A262A1" w14:textId="77777777" w:rsidR="00884B9C" w:rsidRPr="000E2B6B" w:rsidRDefault="00884B9C">
            <w:pPr>
              <w:jc w:val="center"/>
              <w:rPr>
                <w:b/>
              </w:rPr>
            </w:pPr>
          </w:p>
        </w:tc>
        <w:tc>
          <w:tcPr>
            <w:tcW w:w="664" w:type="pct"/>
          </w:tcPr>
          <w:p w14:paraId="11A262A2" w14:textId="77777777" w:rsidR="00884B9C" w:rsidRPr="000E2B6B" w:rsidRDefault="00884B9C" w:rsidP="002A7EFE">
            <w:pPr>
              <w:jc w:val="center"/>
              <w:rPr>
                <w:b/>
              </w:rPr>
            </w:pPr>
          </w:p>
        </w:tc>
        <w:tc>
          <w:tcPr>
            <w:tcW w:w="859" w:type="pct"/>
          </w:tcPr>
          <w:p w14:paraId="11A262A3" w14:textId="77777777" w:rsidR="00884B9C" w:rsidRPr="000E2B6B" w:rsidRDefault="00884B9C" w:rsidP="002A7EFE">
            <w:pPr>
              <w:rPr>
                <w:b/>
              </w:rPr>
            </w:pPr>
          </w:p>
        </w:tc>
        <w:tc>
          <w:tcPr>
            <w:tcW w:w="3202" w:type="pct"/>
          </w:tcPr>
          <w:p w14:paraId="11A262A4" w14:textId="77777777" w:rsidR="00762D81" w:rsidRPr="00762D81" w:rsidRDefault="00762D81" w:rsidP="00762D81">
            <w:pPr>
              <w:rPr>
                <w:b/>
                <w:szCs w:val="20"/>
              </w:rPr>
            </w:pPr>
          </w:p>
        </w:tc>
      </w:tr>
      <w:tr w:rsidR="00E52110" w:rsidRPr="00500C4E" w14:paraId="11A262AA" w14:textId="77777777" w:rsidTr="006D07B7">
        <w:trPr>
          <w:trHeight w:val="20"/>
        </w:trPr>
        <w:tc>
          <w:tcPr>
            <w:tcW w:w="275" w:type="pct"/>
          </w:tcPr>
          <w:p w14:paraId="11A262A6" w14:textId="77777777" w:rsidR="00DB544A" w:rsidRPr="00F2079F" w:rsidRDefault="00DB544A" w:rsidP="00700C85">
            <w:pPr>
              <w:jc w:val="center"/>
            </w:pPr>
          </w:p>
        </w:tc>
        <w:tc>
          <w:tcPr>
            <w:tcW w:w="664" w:type="pct"/>
          </w:tcPr>
          <w:p w14:paraId="11A262A7" w14:textId="77777777" w:rsidR="00DB544A" w:rsidRDefault="00DB544A" w:rsidP="002A7EFE">
            <w:pPr>
              <w:jc w:val="center"/>
              <w:rPr>
                <w:szCs w:val="20"/>
              </w:rPr>
            </w:pPr>
          </w:p>
        </w:tc>
        <w:tc>
          <w:tcPr>
            <w:tcW w:w="859" w:type="pct"/>
          </w:tcPr>
          <w:p w14:paraId="11A262A8" w14:textId="77777777" w:rsidR="00DB544A" w:rsidRDefault="00DB544A" w:rsidP="002A7EFE">
            <w:pPr>
              <w:rPr>
                <w:szCs w:val="20"/>
              </w:rPr>
            </w:pPr>
          </w:p>
        </w:tc>
        <w:tc>
          <w:tcPr>
            <w:tcW w:w="3202" w:type="pct"/>
          </w:tcPr>
          <w:p w14:paraId="11A262A9" w14:textId="77777777" w:rsidR="00762D81" w:rsidRPr="006A478E" w:rsidRDefault="00762D81" w:rsidP="00700C85">
            <w:pPr>
              <w:rPr>
                <w:bCs/>
                <w:szCs w:val="20"/>
              </w:rPr>
            </w:pPr>
          </w:p>
        </w:tc>
      </w:tr>
      <w:tr w:rsidR="00E52110" w:rsidRPr="00500C4E" w14:paraId="11A262AF" w14:textId="77777777" w:rsidTr="006D07B7">
        <w:trPr>
          <w:trHeight w:val="20"/>
        </w:trPr>
        <w:tc>
          <w:tcPr>
            <w:tcW w:w="275" w:type="pct"/>
          </w:tcPr>
          <w:p w14:paraId="11A262AB" w14:textId="77777777" w:rsidR="00762D81" w:rsidRDefault="00762D81" w:rsidP="008C2C8A">
            <w:pPr>
              <w:jc w:val="center"/>
            </w:pPr>
          </w:p>
        </w:tc>
        <w:tc>
          <w:tcPr>
            <w:tcW w:w="664" w:type="pct"/>
          </w:tcPr>
          <w:p w14:paraId="11A262AC" w14:textId="77777777" w:rsidR="00762D81" w:rsidRDefault="00762D81" w:rsidP="002A7EFE">
            <w:pPr>
              <w:jc w:val="center"/>
              <w:rPr>
                <w:szCs w:val="20"/>
              </w:rPr>
            </w:pPr>
          </w:p>
        </w:tc>
        <w:tc>
          <w:tcPr>
            <w:tcW w:w="859" w:type="pct"/>
          </w:tcPr>
          <w:p w14:paraId="11A262AD" w14:textId="77777777" w:rsidR="004016D3" w:rsidRDefault="004016D3" w:rsidP="002A7EFE">
            <w:pPr>
              <w:rPr>
                <w:szCs w:val="20"/>
              </w:rPr>
            </w:pPr>
          </w:p>
        </w:tc>
        <w:tc>
          <w:tcPr>
            <w:tcW w:w="3202" w:type="pct"/>
          </w:tcPr>
          <w:p w14:paraId="11A262AE" w14:textId="77777777" w:rsidR="004016D3" w:rsidRDefault="004016D3" w:rsidP="004016D3">
            <w:pPr>
              <w:rPr>
                <w:bCs/>
                <w:szCs w:val="20"/>
              </w:rPr>
            </w:pPr>
          </w:p>
        </w:tc>
      </w:tr>
      <w:tr w:rsidR="00700C85" w:rsidRPr="00500C4E" w14:paraId="11A262B4" w14:textId="77777777" w:rsidTr="006D07B7">
        <w:trPr>
          <w:trHeight w:val="20"/>
        </w:trPr>
        <w:tc>
          <w:tcPr>
            <w:tcW w:w="275" w:type="pct"/>
          </w:tcPr>
          <w:p w14:paraId="11A262B0" w14:textId="77777777" w:rsidR="00700C85" w:rsidRDefault="00700C85" w:rsidP="008C2C8A">
            <w:pPr>
              <w:jc w:val="center"/>
            </w:pPr>
          </w:p>
        </w:tc>
        <w:tc>
          <w:tcPr>
            <w:tcW w:w="664" w:type="pct"/>
          </w:tcPr>
          <w:p w14:paraId="11A262B1" w14:textId="77777777" w:rsidR="00700C85" w:rsidRDefault="00700C85" w:rsidP="002A7EFE">
            <w:pPr>
              <w:jc w:val="center"/>
              <w:rPr>
                <w:szCs w:val="20"/>
              </w:rPr>
            </w:pPr>
          </w:p>
        </w:tc>
        <w:tc>
          <w:tcPr>
            <w:tcW w:w="859" w:type="pct"/>
          </w:tcPr>
          <w:p w14:paraId="11A262B2" w14:textId="77777777" w:rsidR="00700C85" w:rsidRDefault="00700C85" w:rsidP="002A7EFE">
            <w:pPr>
              <w:rPr>
                <w:szCs w:val="20"/>
              </w:rPr>
            </w:pPr>
          </w:p>
        </w:tc>
        <w:tc>
          <w:tcPr>
            <w:tcW w:w="3202" w:type="pct"/>
          </w:tcPr>
          <w:p w14:paraId="11A262B3" w14:textId="77777777" w:rsidR="00700C85" w:rsidRPr="00700C85" w:rsidRDefault="00700C85" w:rsidP="00EC7A22">
            <w:pPr>
              <w:ind w:left="360"/>
              <w:rPr>
                <w:bCs/>
              </w:rPr>
            </w:pPr>
          </w:p>
        </w:tc>
      </w:tr>
    </w:tbl>
    <w:p w14:paraId="11A262B5" w14:textId="77777777" w:rsidR="00DB71F1" w:rsidRDefault="00DB71F1" w:rsidP="00413EF4"/>
    <w:p w14:paraId="11A262B6" w14:textId="77777777" w:rsidR="00DB71F1" w:rsidRDefault="00DB71F1">
      <w:pPr>
        <w:spacing w:after="200" w:line="276" w:lineRule="auto"/>
      </w:pPr>
      <w:r>
        <w:br w:type="page"/>
      </w:r>
    </w:p>
    <w:p w14:paraId="11A262B7" w14:textId="77777777" w:rsidR="00DB71F1" w:rsidRDefault="00DB71F1" w:rsidP="00DB71F1">
      <w:pPr>
        <w:pStyle w:val="Heading2"/>
      </w:pPr>
      <w:r>
        <w:lastRenderedPageBreak/>
        <w:t>Measure Summary</w:t>
      </w:r>
      <w:r w:rsidRPr="0025216C">
        <w:t xml:space="preserve"> </w:t>
      </w:r>
    </w:p>
    <w:p w14:paraId="11A262B8" w14:textId="77777777" w:rsidR="00EE6CFE" w:rsidRPr="00EE6CFE" w:rsidRDefault="00EE6CFE" w:rsidP="0081521B"/>
    <w:p w14:paraId="11A262B9" w14:textId="3D2CE3E2" w:rsidR="00DB71F1" w:rsidRDefault="00DB71F1" w:rsidP="00DB71F1">
      <w:pPr>
        <w:pStyle w:val="WPnumber"/>
        <w:keepNext/>
        <w:jc w:val="center"/>
      </w:pPr>
      <w:r>
        <w:t xml:space="preserve">Table </w:t>
      </w:r>
      <w:r w:rsidR="00E768E1">
        <w:fldChar w:fldCharType="begin"/>
      </w:r>
      <w:r w:rsidR="00E768E1">
        <w:instrText xml:space="preserve"> SEQ Table \* ARABIC </w:instrText>
      </w:r>
      <w:r w:rsidR="00E768E1">
        <w:fldChar w:fldCharType="separate"/>
      </w:r>
      <w:r w:rsidR="004546FD">
        <w:rPr>
          <w:noProof/>
        </w:rPr>
        <w:t>1</w:t>
      </w:r>
      <w:r w:rsidR="00E768E1">
        <w:rPr>
          <w:noProof/>
        </w:rPr>
        <w:fldChar w:fldCharType="end"/>
      </w:r>
      <w:r>
        <w:t>: Measure Summary Table</w:t>
      </w:r>
    </w:p>
    <w:tbl>
      <w:tblPr>
        <w:tblStyle w:val="TableGrid"/>
        <w:tblW w:w="0" w:type="auto"/>
        <w:tblLayout w:type="fixed"/>
        <w:tblLook w:val="04A0" w:firstRow="1" w:lastRow="0" w:firstColumn="1" w:lastColumn="0" w:noHBand="0" w:noVBand="1"/>
      </w:tblPr>
      <w:tblGrid>
        <w:gridCol w:w="1638"/>
        <w:gridCol w:w="7938"/>
      </w:tblGrid>
      <w:tr w:rsidR="00DB71F1" w14:paraId="11A262BC" w14:textId="77777777" w:rsidTr="001F1328">
        <w:trPr>
          <w:cantSplit/>
          <w:tblHeader/>
        </w:trPr>
        <w:tc>
          <w:tcPr>
            <w:tcW w:w="1638" w:type="dxa"/>
          </w:tcPr>
          <w:p w14:paraId="11A262BA" w14:textId="77777777" w:rsidR="00DB71F1" w:rsidRPr="00D86243" w:rsidRDefault="00DB71F1" w:rsidP="002A7EFE">
            <w:pPr>
              <w:jc w:val="center"/>
              <w:rPr>
                <w:b/>
              </w:rPr>
            </w:pPr>
            <w:r w:rsidRPr="00D86243">
              <w:rPr>
                <w:b/>
              </w:rPr>
              <w:t>Section</w:t>
            </w:r>
          </w:p>
        </w:tc>
        <w:tc>
          <w:tcPr>
            <w:tcW w:w="7938" w:type="dxa"/>
          </w:tcPr>
          <w:p w14:paraId="11A262BB" w14:textId="77777777" w:rsidR="00DB71F1" w:rsidRPr="00D86243" w:rsidRDefault="00DB71F1" w:rsidP="002A7EFE">
            <w:pPr>
              <w:jc w:val="center"/>
              <w:rPr>
                <w:b/>
              </w:rPr>
            </w:pPr>
            <w:r w:rsidRPr="00D86243">
              <w:rPr>
                <w:b/>
              </w:rPr>
              <w:t>Value</w:t>
            </w:r>
          </w:p>
        </w:tc>
      </w:tr>
      <w:tr w:rsidR="00DB71F1" w14:paraId="11A262BF" w14:textId="77777777" w:rsidTr="001F1328">
        <w:trPr>
          <w:cantSplit/>
        </w:trPr>
        <w:tc>
          <w:tcPr>
            <w:tcW w:w="1638" w:type="dxa"/>
            <w:vAlign w:val="center"/>
          </w:tcPr>
          <w:p w14:paraId="11A262BD" w14:textId="77777777" w:rsidR="00DB71F1" w:rsidRPr="001D77F7" w:rsidRDefault="00DB71F1" w:rsidP="002A7EFE">
            <w:pPr>
              <w:rPr>
                <w:b/>
              </w:rPr>
            </w:pPr>
            <w:r>
              <w:rPr>
                <w:b/>
              </w:rPr>
              <w:t>Summary &amp; Purpose</w:t>
            </w:r>
          </w:p>
        </w:tc>
        <w:tc>
          <w:tcPr>
            <w:tcW w:w="7938" w:type="dxa"/>
          </w:tcPr>
          <w:p w14:paraId="11A262BE" w14:textId="3D3A0FD2" w:rsidR="00DB71F1" w:rsidRPr="00D86243" w:rsidRDefault="00DB71F1" w:rsidP="00555671">
            <w:pPr>
              <w:jc w:val="both"/>
              <w:rPr>
                <w:rFonts w:cs="Arial"/>
                <w:sz w:val="20"/>
                <w:szCs w:val="20"/>
              </w:rPr>
            </w:pPr>
            <w:r w:rsidRPr="00E52110">
              <w:rPr>
                <w:rFonts w:cs="Arial"/>
                <w:sz w:val="20"/>
                <w:szCs w:val="20"/>
              </w:rPr>
              <w:t>This short form workpaper documents</w:t>
            </w:r>
            <w:r w:rsidR="00B80557">
              <w:rPr>
                <w:rFonts w:cs="Arial"/>
                <w:sz w:val="20"/>
                <w:szCs w:val="20"/>
              </w:rPr>
              <w:t xml:space="preserve"> details for the replacement of </w:t>
            </w:r>
            <w:r w:rsidR="00334386">
              <w:rPr>
                <w:rFonts w:cs="Arial"/>
                <w:sz w:val="20"/>
                <w:szCs w:val="20"/>
              </w:rPr>
              <w:t>typical conveyor boilers operating at a constant input rate by advanc</w:t>
            </w:r>
            <w:r w:rsidR="00EF61C8">
              <w:rPr>
                <w:rFonts w:cs="Arial"/>
                <w:sz w:val="20"/>
                <w:szCs w:val="20"/>
              </w:rPr>
              <w:t xml:space="preserve">ed energy efficient control technology. </w:t>
            </w:r>
            <w:r w:rsidR="00C228B0" w:rsidRPr="00E52110">
              <w:rPr>
                <w:rFonts w:cs="Arial"/>
                <w:sz w:val="20"/>
                <w:szCs w:val="20"/>
              </w:rPr>
              <w:t>The base energy consumption</w:t>
            </w:r>
            <w:r w:rsidR="00067315" w:rsidRPr="00E52110">
              <w:rPr>
                <w:rFonts w:cs="Arial"/>
                <w:sz w:val="20"/>
                <w:szCs w:val="20"/>
              </w:rPr>
              <w:t xml:space="preserve"> and </w:t>
            </w:r>
            <w:r w:rsidR="00C228B0" w:rsidRPr="00E52110">
              <w:rPr>
                <w:rFonts w:cs="Arial"/>
                <w:sz w:val="20"/>
                <w:szCs w:val="20"/>
              </w:rPr>
              <w:t>measure energy consumption</w:t>
            </w:r>
            <w:r w:rsidR="00067315" w:rsidRPr="00E52110">
              <w:rPr>
                <w:rFonts w:cs="Arial"/>
                <w:sz w:val="20"/>
                <w:szCs w:val="20"/>
              </w:rPr>
              <w:t xml:space="preserve"> values</w:t>
            </w:r>
            <w:r w:rsidR="00C228B0" w:rsidRPr="00E52110">
              <w:rPr>
                <w:rFonts w:cs="Arial"/>
                <w:sz w:val="20"/>
                <w:szCs w:val="20"/>
              </w:rPr>
              <w:t xml:space="preserve"> are fr</w:t>
            </w:r>
            <w:r w:rsidR="001A34A6" w:rsidRPr="00E52110">
              <w:rPr>
                <w:rFonts w:cs="Arial"/>
                <w:sz w:val="20"/>
                <w:szCs w:val="20"/>
              </w:rPr>
              <w:t xml:space="preserve">om </w:t>
            </w:r>
            <w:r w:rsidR="00EF61C8">
              <w:rPr>
                <w:rFonts w:cs="Arial"/>
                <w:sz w:val="20"/>
                <w:szCs w:val="20"/>
              </w:rPr>
              <w:t>SCG</w:t>
            </w:r>
            <w:r w:rsidR="00E52110">
              <w:rPr>
                <w:rFonts w:cs="Arial"/>
                <w:sz w:val="20"/>
                <w:szCs w:val="20"/>
              </w:rPr>
              <w:t xml:space="preserve">’s </w:t>
            </w:r>
            <w:r w:rsidR="001A34A6" w:rsidRPr="00E52110">
              <w:rPr>
                <w:rFonts w:cs="Arial"/>
                <w:sz w:val="20"/>
                <w:szCs w:val="20"/>
              </w:rPr>
              <w:t xml:space="preserve">workpaper, </w:t>
            </w:r>
            <w:r w:rsidR="00EF61C8">
              <w:rPr>
                <w:rFonts w:cs="Arial"/>
                <w:sz w:val="20"/>
                <w:szCs w:val="20"/>
              </w:rPr>
              <w:t>WPSCGNRCC171226A</w:t>
            </w:r>
            <w:r w:rsidR="00C228B0" w:rsidRPr="00E52110">
              <w:rPr>
                <w:rFonts w:cs="Arial"/>
                <w:sz w:val="20"/>
                <w:szCs w:val="20"/>
              </w:rPr>
              <w:t xml:space="preserve">, Revision </w:t>
            </w:r>
            <w:r w:rsidR="003065FA">
              <w:rPr>
                <w:rFonts w:cs="Arial"/>
                <w:sz w:val="20"/>
                <w:szCs w:val="20"/>
              </w:rPr>
              <w:t>0</w:t>
            </w:r>
            <w:r w:rsidR="00067315" w:rsidRPr="00E52110">
              <w:rPr>
                <w:rFonts w:cs="Arial"/>
                <w:sz w:val="20"/>
                <w:szCs w:val="20"/>
              </w:rPr>
              <w:t xml:space="preserve">.  </w:t>
            </w:r>
          </w:p>
        </w:tc>
      </w:tr>
      <w:tr w:rsidR="00DB71F1" w14:paraId="11A262CB" w14:textId="77777777" w:rsidTr="001F1328">
        <w:trPr>
          <w:cantSplit/>
        </w:trPr>
        <w:tc>
          <w:tcPr>
            <w:tcW w:w="1638" w:type="dxa"/>
            <w:vAlign w:val="center"/>
          </w:tcPr>
          <w:p w14:paraId="11A262C0" w14:textId="77777777" w:rsidR="00DB71F1" w:rsidRPr="001D77F7" w:rsidRDefault="00DB71F1" w:rsidP="002A7EFE">
            <w:pPr>
              <w:rPr>
                <w:b/>
              </w:rPr>
            </w:pPr>
            <w:r w:rsidRPr="001D77F7">
              <w:rPr>
                <w:b/>
              </w:rPr>
              <w:t>1.1 Measure &amp; Baseline Data</w:t>
            </w:r>
          </w:p>
        </w:tc>
        <w:tc>
          <w:tcPr>
            <w:tcW w:w="7938" w:type="dxa"/>
          </w:tcPr>
          <w:p w14:paraId="22672155" w14:textId="6AC476A9" w:rsidR="00EF61C8" w:rsidRPr="00555671" w:rsidRDefault="00EE6CFE" w:rsidP="001D57D7">
            <w:pPr>
              <w:rPr>
                <w:rFonts w:cs="Arial"/>
                <w:sz w:val="20"/>
                <w:szCs w:val="20"/>
              </w:rPr>
            </w:pPr>
            <w:r w:rsidRPr="00555671">
              <w:rPr>
                <w:rFonts w:cs="Arial"/>
                <w:sz w:val="20"/>
                <w:szCs w:val="20"/>
              </w:rPr>
              <w:t>Measure</w:t>
            </w:r>
            <w:r w:rsidR="00666474">
              <w:rPr>
                <w:rFonts w:cs="Arial"/>
                <w:sz w:val="20"/>
                <w:szCs w:val="20"/>
              </w:rPr>
              <w:t>s</w:t>
            </w:r>
            <w:r w:rsidRPr="00555671">
              <w:rPr>
                <w:rFonts w:cs="Arial"/>
                <w:sz w:val="20"/>
                <w:szCs w:val="20"/>
              </w:rPr>
              <w:t xml:space="preserve">: </w:t>
            </w:r>
          </w:p>
          <w:tbl>
            <w:tblPr>
              <w:tblStyle w:val="TableGrid"/>
              <w:tblW w:w="0" w:type="auto"/>
              <w:tblLayout w:type="fixed"/>
              <w:tblLook w:val="04A0" w:firstRow="1" w:lastRow="0" w:firstColumn="1" w:lastColumn="0" w:noHBand="0" w:noVBand="1"/>
            </w:tblPr>
            <w:tblGrid>
              <w:gridCol w:w="968"/>
              <w:gridCol w:w="990"/>
              <w:gridCol w:w="4760"/>
            </w:tblGrid>
            <w:tr w:rsidR="008C5A8E" w14:paraId="11A262C5" w14:textId="77777777" w:rsidTr="001F1328">
              <w:tc>
                <w:tcPr>
                  <w:tcW w:w="968" w:type="dxa"/>
                </w:tcPr>
                <w:p w14:paraId="11A262C2" w14:textId="77777777" w:rsidR="008C5A8E" w:rsidRDefault="00B80557" w:rsidP="008C5A8E">
                  <w:pPr>
                    <w:rPr>
                      <w:rFonts w:cs="Arial"/>
                      <w:sz w:val="20"/>
                      <w:szCs w:val="20"/>
                    </w:rPr>
                  </w:pPr>
                  <w:r>
                    <w:rPr>
                      <w:rFonts w:cs="Arial"/>
                      <w:sz w:val="20"/>
                      <w:szCs w:val="20"/>
                    </w:rPr>
                    <w:t xml:space="preserve">PG&amp;E Measure </w:t>
                  </w:r>
                  <w:r w:rsidR="008C5A8E">
                    <w:rPr>
                      <w:rFonts w:cs="Arial"/>
                      <w:sz w:val="20"/>
                      <w:szCs w:val="20"/>
                    </w:rPr>
                    <w:t>Code</w:t>
                  </w:r>
                  <w:r w:rsidR="00666474">
                    <w:rPr>
                      <w:rFonts w:cs="Arial"/>
                      <w:sz w:val="20"/>
                      <w:szCs w:val="20"/>
                    </w:rPr>
                    <w:t>s</w:t>
                  </w:r>
                </w:p>
              </w:tc>
              <w:tc>
                <w:tcPr>
                  <w:tcW w:w="990" w:type="dxa"/>
                </w:tcPr>
                <w:p w14:paraId="3F5FB5E9" w14:textId="77777777" w:rsidR="00E768E1" w:rsidRDefault="00E768E1" w:rsidP="00B80557">
                  <w:pPr>
                    <w:rPr>
                      <w:rFonts w:cs="Arial"/>
                      <w:sz w:val="20"/>
                      <w:szCs w:val="20"/>
                    </w:rPr>
                  </w:pPr>
                  <w:r>
                    <w:rPr>
                      <w:rFonts w:cs="Arial"/>
                      <w:sz w:val="20"/>
                      <w:szCs w:val="20"/>
                    </w:rPr>
                    <w:t>SCG</w:t>
                  </w:r>
                </w:p>
                <w:p w14:paraId="11A262C3" w14:textId="52325F80" w:rsidR="008C5A8E" w:rsidRDefault="00E768E1" w:rsidP="00B80557">
                  <w:pPr>
                    <w:rPr>
                      <w:rFonts w:cs="Arial"/>
                      <w:sz w:val="20"/>
                      <w:szCs w:val="20"/>
                    </w:rPr>
                  </w:pPr>
                  <w:r>
                    <w:rPr>
                      <w:rFonts w:cs="Arial"/>
                      <w:sz w:val="20"/>
                      <w:szCs w:val="20"/>
                    </w:rPr>
                    <w:t>Measure</w:t>
                  </w:r>
                  <w:bookmarkStart w:id="1" w:name="_GoBack"/>
                  <w:bookmarkEnd w:id="1"/>
                  <w:r w:rsidR="008C5A8E">
                    <w:rPr>
                      <w:rFonts w:cs="Arial"/>
                      <w:sz w:val="20"/>
                      <w:szCs w:val="20"/>
                    </w:rPr>
                    <w:t>Code</w:t>
                  </w:r>
                  <w:r w:rsidR="00B80557">
                    <w:rPr>
                      <w:rFonts w:cs="Arial"/>
                      <w:sz w:val="20"/>
                      <w:szCs w:val="20"/>
                    </w:rPr>
                    <w:t>s</w:t>
                  </w:r>
                </w:p>
              </w:tc>
              <w:tc>
                <w:tcPr>
                  <w:tcW w:w="4760" w:type="dxa"/>
                </w:tcPr>
                <w:p w14:paraId="11A262C4" w14:textId="77777777" w:rsidR="008C5A8E" w:rsidRDefault="008C5A8E" w:rsidP="008C5A8E">
                  <w:pPr>
                    <w:rPr>
                      <w:rFonts w:cs="Arial"/>
                      <w:sz w:val="20"/>
                      <w:szCs w:val="20"/>
                    </w:rPr>
                  </w:pPr>
                  <w:r>
                    <w:rPr>
                      <w:rFonts w:cs="Arial"/>
                      <w:sz w:val="20"/>
                      <w:szCs w:val="20"/>
                    </w:rPr>
                    <w:t>Description</w:t>
                  </w:r>
                </w:p>
              </w:tc>
            </w:tr>
            <w:tr w:rsidR="008C5A8E" w14:paraId="11A262C9" w14:textId="77777777" w:rsidTr="001F1328">
              <w:tc>
                <w:tcPr>
                  <w:tcW w:w="968" w:type="dxa"/>
                </w:tcPr>
                <w:p w14:paraId="11A262C6" w14:textId="55D27CCA" w:rsidR="00666474" w:rsidRPr="008C5A8E" w:rsidRDefault="005B487F" w:rsidP="00D3336A">
                  <w:pPr>
                    <w:rPr>
                      <w:rFonts w:cs="Arial"/>
                      <w:sz w:val="20"/>
                      <w:szCs w:val="20"/>
                    </w:rPr>
                  </w:pPr>
                  <w:r>
                    <w:rPr>
                      <w:rFonts w:cs="Arial"/>
                      <w:sz w:val="20"/>
                      <w:szCs w:val="20"/>
                    </w:rPr>
                    <w:t>FS023</w:t>
                  </w:r>
                </w:p>
              </w:tc>
              <w:tc>
                <w:tcPr>
                  <w:tcW w:w="990" w:type="dxa"/>
                </w:tcPr>
                <w:p w14:paraId="11A262C7" w14:textId="0351BA1B" w:rsidR="008C5A8E" w:rsidRPr="008C5A8E" w:rsidRDefault="00EF61C8" w:rsidP="002A7EFE">
                  <w:pPr>
                    <w:rPr>
                      <w:rFonts w:cstheme="minorHAnsi"/>
                      <w:color w:val="FF0000"/>
                      <w:sz w:val="20"/>
                      <w:szCs w:val="20"/>
                    </w:rPr>
                  </w:pPr>
                  <w:r>
                    <w:rPr>
                      <w:rFonts w:cstheme="minorHAnsi"/>
                      <w:sz w:val="20"/>
                      <w:szCs w:val="20"/>
                    </w:rPr>
                    <w:t xml:space="preserve"> </w:t>
                  </w:r>
                </w:p>
              </w:tc>
              <w:tc>
                <w:tcPr>
                  <w:tcW w:w="4760" w:type="dxa"/>
                </w:tcPr>
                <w:p w14:paraId="11A262C8" w14:textId="225EB3C8" w:rsidR="008C5A8E" w:rsidRPr="008C5A8E" w:rsidRDefault="00EF61C8" w:rsidP="008C5A8E">
                  <w:pPr>
                    <w:rPr>
                      <w:rFonts w:cs="Arial"/>
                      <w:sz w:val="20"/>
                      <w:szCs w:val="20"/>
                    </w:rPr>
                  </w:pPr>
                  <w:r>
                    <w:rPr>
                      <w:rFonts w:cs="Arial"/>
                      <w:sz w:val="20"/>
                      <w:szCs w:val="20"/>
                    </w:rPr>
                    <w:t>Energy Efficient Commercial Conveyor Broilers &lt;22 in</w:t>
                  </w:r>
                  <w:r w:rsidR="00E6538A">
                    <w:rPr>
                      <w:rFonts w:cs="Arial"/>
                      <w:sz w:val="20"/>
                      <w:szCs w:val="20"/>
                    </w:rPr>
                    <w:t>ch</w:t>
                  </w:r>
                  <w:r>
                    <w:rPr>
                      <w:rFonts w:cs="Arial"/>
                      <w:sz w:val="20"/>
                      <w:szCs w:val="20"/>
                    </w:rPr>
                    <w:t xml:space="preserve"> wide conveyor</w:t>
                  </w:r>
                </w:p>
              </w:tc>
            </w:tr>
            <w:tr w:rsidR="00EF61C8" w14:paraId="38E29704" w14:textId="77777777" w:rsidTr="001F1328">
              <w:tc>
                <w:tcPr>
                  <w:tcW w:w="968" w:type="dxa"/>
                </w:tcPr>
                <w:p w14:paraId="79F9C5C5" w14:textId="1991E416" w:rsidR="00EF61C8" w:rsidRPr="008F5DEF" w:rsidRDefault="00E6538A" w:rsidP="00D3336A">
                  <w:pPr>
                    <w:rPr>
                      <w:rFonts w:cstheme="minorHAnsi"/>
                      <w:sz w:val="20"/>
                      <w:szCs w:val="20"/>
                    </w:rPr>
                  </w:pPr>
                  <w:r>
                    <w:rPr>
                      <w:rFonts w:cstheme="minorHAnsi"/>
                      <w:sz w:val="20"/>
                      <w:szCs w:val="20"/>
                    </w:rPr>
                    <w:t>FS024</w:t>
                  </w:r>
                </w:p>
              </w:tc>
              <w:tc>
                <w:tcPr>
                  <w:tcW w:w="990" w:type="dxa"/>
                </w:tcPr>
                <w:p w14:paraId="7E24FDBD" w14:textId="77777777" w:rsidR="00EF61C8" w:rsidRDefault="00EF61C8" w:rsidP="002A7EFE">
                  <w:pPr>
                    <w:rPr>
                      <w:rFonts w:cstheme="minorHAnsi"/>
                      <w:sz w:val="20"/>
                      <w:szCs w:val="20"/>
                    </w:rPr>
                  </w:pPr>
                </w:p>
              </w:tc>
              <w:tc>
                <w:tcPr>
                  <w:tcW w:w="4760" w:type="dxa"/>
                </w:tcPr>
                <w:p w14:paraId="6C274081" w14:textId="170620E6" w:rsidR="00EF61C8" w:rsidRDefault="00EF61C8" w:rsidP="008C5A8E">
                  <w:pPr>
                    <w:rPr>
                      <w:rFonts w:cs="Arial"/>
                      <w:sz w:val="20"/>
                      <w:szCs w:val="20"/>
                    </w:rPr>
                  </w:pPr>
                  <w:r>
                    <w:rPr>
                      <w:rFonts w:cs="Arial"/>
                      <w:sz w:val="20"/>
                      <w:szCs w:val="20"/>
                    </w:rPr>
                    <w:t>Energy Efficient Commer</w:t>
                  </w:r>
                  <w:r w:rsidR="00E6538A">
                    <w:rPr>
                      <w:rFonts w:cs="Arial"/>
                      <w:sz w:val="20"/>
                      <w:szCs w:val="20"/>
                    </w:rPr>
                    <w:t>cial Conveyor Broilers 22-28 inch</w:t>
                  </w:r>
                  <w:r>
                    <w:rPr>
                      <w:rFonts w:cs="Arial"/>
                      <w:sz w:val="20"/>
                      <w:szCs w:val="20"/>
                    </w:rPr>
                    <w:t xml:space="preserve"> wide conveyor</w:t>
                  </w:r>
                </w:p>
              </w:tc>
            </w:tr>
            <w:tr w:rsidR="00EF61C8" w14:paraId="591A775F" w14:textId="77777777" w:rsidTr="001F1328">
              <w:tc>
                <w:tcPr>
                  <w:tcW w:w="968" w:type="dxa"/>
                </w:tcPr>
                <w:p w14:paraId="56342E68" w14:textId="44A162F8" w:rsidR="00EF61C8" w:rsidRDefault="00E6538A" w:rsidP="00D3336A">
                  <w:pPr>
                    <w:rPr>
                      <w:rFonts w:cstheme="minorHAnsi"/>
                      <w:sz w:val="20"/>
                      <w:szCs w:val="20"/>
                    </w:rPr>
                  </w:pPr>
                  <w:r>
                    <w:rPr>
                      <w:rFonts w:cstheme="minorHAnsi"/>
                      <w:sz w:val="20"/>
                      <w:szCs w:val="20"/>
                    </w:rPr>
                    <w:t>FS025</w:t>
                  </w:r>
                </w:p>
              </w:tc>
              <w:tc>
                <w:tcPr>
                  <w:tcW w:w="990" w:type="dxa"/>
                </w:tcPr>
                <w:p w14:paraId="2AE529F8" w14:textId="77777777" w:rsidR="00EF61C8" w:rsidRDefault="00EF61C8" w:rsidP="002A7EFE">
                  <w:pPr>
                    <w:rPr>
                      <w:rFonts w:cstheme="minorHAnsi"/>
                      <w:sz w:val="20"/>
                      <w:szCs w:val="20"/>
                    </w:rPr>
                  </w:pPr>
                </w:p>
              </w:tc>
              <w:tc>
                <w:tcPr>
                  <w:tcW w:w="4760" w:type="dxa"/>
                </w:tcPr>
                <w:p w14:paraId="3487CEEF" w14:textId="26988D29" w:rsidR="00EF61C8" w:rsidRDefault="00EF61C8" w:rsidP="008C5A8E">
                  <w:pPr>
                    <w:rPr>
                      <w:rFonts w:cs="Arial"/>
                      <w:sz w:val="20"/>
                      <w:szCs w:val="20"/>
                    </w:rPr>
                  </w:pPr>
                  <w:r>
                    <w:rPr>
                      <w:rFonts w:cs="Arial"/>
                      <w:sz w:val="20"/>
                      <w:szCs w:val="20"/>
                    </w:rPr>
                    <w:t xml:space="preserve">Energy Efficient Commercial Conveyor </w:t>
                  </w:r>
                  <w:r w:rsidR="00E6538A">
                    <w:rPr>
                      <w:rFonts w:cs="Arial"/>
                      <w:sz w:val="20"/>
                      <w:szCs w:val="20"/>
                    </w:rPr>
                    <w:t xml:space="preserve">Broilers &gt;28 inch </w:t>
                  </w:r>
                  <w:r>
                    <w:rPr>
                      <w:rFonts w:cs="Arial"/>
                      <w:sz w:val="20"/>
                      <w:szCs w:val="20"/>
                    </w:rPr>
                    <w:t>wide conveyor</w:t>
                  </w:r>
                </w:p>
              </w:tc>
            </w:tr>
          </w:tbl>
          <w:p w14:paraId="11A262CA" w14:textId="77777777" w:rsidR="008C5A8E" w:rsidRPr="00241A1F" w:rsidRDefault="008C5A8E" w:rsidP="008C5A8E">
            <w:pPr>
              <w:rPr>
                <w:rFonts w:cs="Arial"/>
                <w:sz w:val="20"/>
                <w:szCs w:val="20"/>
              </w:rPr>
            </w:pPr>
          </w:p>
        </w:tc>
      </w:tr>
      <w:tr w:rsidR="00DB71F1" w14:paraId="11A262CE" w14:textId="77777777" w:rsidTr="001F1328">
        <w:trPr>
          <w:cantSplit/>
        </w:trPr>
        <w:tc>
          <w:tcPr>
            <w:tcW w:w="1638" w:type="dxa"/>
            <w:vAlign w:val="center"/>
          </w:tcPr>
          <w:p w14:paraId="11A262CC" w14:textId="77777777" w:rsidR="00DB71F1" w:rsidRPr="001D77F7" w:rsidRDefault="00DB71F1" w:rsidP="002A7EFE">
            <w:pPr>
              <w:rPr>
                <w:b/>
              </w:rPr>
            </w:pPr>
            <w:r w:rsidRPr="001D77F7">
              <w:rPr>
                <w:b/>
              </w:rPr>
              <w:t xml:space="preserve">1.2 Technical Description </w:t>
            </w:r>
          </w:p>
        </w:tc>
        <w:tc>
          <w:tcPr>
            <w:tcW w:w="7938" w:type="dxa"/>
          </w:tcPr>
          <w:p w14:paraId="11A262CD" w14:textId="77777777" w:rsidR="00DB71F1" w:rsidRPr="00241A1F" w:rsidRDefault="00DB71F1">
            <w:pPr>
              <w:rPr>
                <w:rFonts w:cs="Arial"/>
                <w:sz w:val="20"/>
                <w:szCs w:val="20"/>
              </w:rPr>
            </w:pPr>
          </w:p>
        </w:tc>
      </w:tr>
      <w:tr w:rsidR="008775D7" w:rsidRPr="008775D7" w14:paraId="11A262D1" w14:textId="77777777" w:rsidTr="001F1328">
        <w:trPr>
          <w:cantSplit/>
        </w:trPr>
        <w:tc>
          <w:tcPr>
            <w:tcW w:w="1638" w:type="dxa"/>
          </w:tcPr>
          <w:p w14:paraId="11A262CF" w14:textId="77777777" w:rsidR="008775D7" w:rsidRPr="00241A1F" w:rsidRDefault="008775D7" w:rsidP="00241A1F">
            <w:pPr>
              <w:jc w:val="right"/>
              <w:rPr>
                <w:sz w:val="20"/>
                <w:szCs w:val="20"/>
              </w:rPr>
            </w:pPr>
            <w:r w:rsidRPr="00241A1F">
              <w:rPr>
                <w:sz w:val="20"/>
                <w:szCs w:val="20"/>
              </w:rPr>
              <w:t>Measures</w:t>
            </w:r>
          </w:p>
        </w:tc>
        <w:tc>
          <w:tcPr>
            <w:tcW w:w="7938" w:type="dxa"/>
          </w:tcPr>
          <w:p w14:paraId="11A262D0" w14:textId="057FD20B" w:rsidR="008775D7" w:rsidRPr="00E6538A" w:rsidRDefault="00E6538A" w:rsidP="00E6538A">
            <w:pPr>
              <w:pStyle w:val="NoSpacing"/>
            </w:pPr>
            <w:r>
              <w:t>See Requirements</w:t>
            </w:r>
          </w:p>
        </w:tc>
      </w:tr>
      <w:tr w:rsidR="008775D7" w:rsidRPr="008775D7" w14:paraId="11A262D7" w14:textId="77777777" w:rsidTr="001F1328">
        <w:trPr>
          <w:cantSplit/>
        </w:trPr>
        <w:tc>
          <w:tcPr>
            <w:tcW w:w="1638" w:type="dxa"/>
          </w:tcPr>
          <w:p w14:paraId="11A262D2" w14:textId="77777777" w:rsidR="008775D7" w:rsidRPr="00653C4B" w:rsidRDefault="008775D7" w:rsidP="00241A1F">
            <w:pPr>
              <w:jc w:val="right"/>
              <w:rPr>
                <w:sz w:val="20"/>
                <w:szCs w:val="20"/>
              </w:rPr>
            </w:pPr>
            <w:r w:rsidRPr="00653C4B">
              <w:rPr>
                <w:sz w:val="20"/>
                <w:szCs w:val="20"/>
              </w:rPr>
              <w:t>Code for All Measures</w:t>
            </w:r>
          </w:p>
        </w:tc>
        <w:tc>
          <w:tcPr>
            <w:tcW w:w="7938" w:type="dxa"/>
          </w:tcPr>
          <w:p w14:paraId="11A262D3" w14:textId="660FFEAC" w:rsidR="00041DA6" w:rsidRPr="00A965B2" w:rsidRDefault="00D0497B" w:rsidP="00041DA6">
            <w:pPr>
              <w:rPr>
                <w:sz w:val="20"/>
                <w:szCs w:val="20"/>
              </w:rPr>
            </w:pPr>
            <w:r>
              <w:rPr>
                <w:sz w:val="20"/>
                <w:szCs w:val="20"/>
              </w:rPr>
              <w:t>As cited per SCG wo</w:t>
            </w:r>
            <w:r w:rsidR="00041DA6" w:rsidRPr="00A965B2">
              <w:rPr>
                <w:sz w:val="20"/>
                <w:szCs w:val="20"/>
              </w:rPr>
              <w:t>rkpaper</w:t>
            </w:r>
          </w:p>
          <w:p w14:paraId="11A262D4" w14:textId="6F25FB25" w:rsidR="00BA41C0" w:rsidRPr="00B551A8" w:rsidRDefault="00D0497B" w:rsidP="00BA41C0">
            <w:pPr>
              <w:rPr>
                <w:rFonts w:cstheme="minorHAnsi"/>
                <w:szCs w:val="22"/>
              </w:rPr>
            </w:pPr>
            <w:r>
              <w:rPr>
                <w:rFonts w:cstheme="minorHAnsi"/>
                <w:szCs w:val="22"/>
              </w:rPr>
              <w:t>-</w:t>
            </w:r>
            <w:r w:rsidR="00BA41C0" w:rsidRPr="00B551A8">
              <w:rPr>
                <w:rFonts w:cstheme="minorHAnsi"/>
                <w:szCs w:val="22"/>
              </w:rPr>
              <w:t>These measures do not fall under Title 24 of the California Energy Regulations.</w:t>
            </w:r>
          </w:p>
          <w:p w14:paraId="418793E0" w14:textId="5B7BCEA3" w:rsidR="00041DA6" w:rsidRDefault="00D0497B" w:rsidP="005F4AE2">
            <w:pPr>
              <w:rPr>
                <w:rFonts w:cstheme="minorHAnsi"/>
                <w:szCs w:val="22"/>
              </w:rPr>
            </w:pPr>
            <w:r>
              <w:rPr>
                <w:sz w:val="20"/>
                <w:szCs w:val="20"/>
              </w:rPr>
              <w:t>-</w:t>
            </w:r>
            <w:r w:rsidR="00E6538A">
              <w:rPr>
                <w:sz w:val="20"/>
                <w:szCs w:val="20"/>
              </w:rPr>
              <w:t xml:space="preserve"> </w:t>
            </w:r>
            <w:r w:rsidR="00BA41C0">
              <w:rPr>
                <w:sz w:val="20"/>
                <w:szCs w:val="20"/>
              </w:rPr>
              <w:t>T</w:t>
            </w:r>
            <w:r w:rsidR="00BA41C0">
              <w:rPr>
                <w:rFonts w:cstheme="minorHAnsi"/>
                <w:szCs w:val="22"/>
              </w:rPr>
              <w:t xml:space="preserve">he </w:t>
            </w:r>
            <w:r w:rsidR="00BA41C0" w:rsidRPr="00B551A8">
              <w:rPr>
                <w:rFonts w:cstheme="minorHAnsi"/>
                <w:szCs w:val="22"/>
              </w:rPr>
              <w:t>Title 20 Appliance Efficiency Regulation</w:t>
            </w:r>
            <w:r w:rsidR="00BA41C0">
              <w:rPr>
                <w:rFonts w:cstheme="minorHAnsi"/>
                <w:szCs w:val="22"/>
              </w:rPr>
              <w:t>s</w:t>
            </w:r>
            <w:r w:rsidR="00BA41C0" w:rsidRPr="00B551A8">
              <w:rPr>
                <w:rFonts w:cstheme="minorHAnsi"/>
                <w:szCs w:val="22"/>
              </w:rPr>
              <w:t xml:space="preserve"> ha</w:t>
            </w:r>
            <w:r w:rsidR="00BA41C0">
              <w:rPr>
                <w:rFonts w:cstheme="minorHAnsi"/>
                <w:szCs w:val="22"/>
              </w:rPr>
              <w:t>ve</w:t>
            </w:r>
            <w:r w:rsidR="00BA41C0" w:rsidRPr="00B551A8">
              <w:rPr>
                <w:rFonts w:cstheme="minorHAnsi"/>
                <w:szCs w:val="22"/>
              </w:rPr>
              <w:t xml:space="preserve"> a category for cooking appliances, but </w:t>
            </w:r>
            <w:r w:rsidR="005B5AAF">
              <w:rPr>
                <w:rFonts w:cstheme="minorHAnsi"/>
                <w:szCs w:val="22"/>
              </w:rPr>
              <w:t xml:space="preserve">commercial conveyor broilers </w:t>
            </w:r>
            <w:r w:rsidR="00BA41C0" w:rsidRPr="00B551A8">
              <w:rPr>
                <w:rFonts w:cstheme="minorHAnsi"/>
                <w:szCs w:val="22"/>
              </w:rPr>
              <w:t>are not included.</w:t>
            </w:r>
          </w:p>
          <w:p w14:paraId="04187B6A" w14:textId="309AA65D" w:rsidR="00D0497B" w:rsidRDefault="00D0497B" w:rsidP="005F4AE2">
            <w:pPr>
              <w:rPr>
                <w:rFonts w:cstheme="minorHAnsi"/>
                <w:szCs w:val="22"/>
              </w:rPr>
            </w:pPr>
            <w:r>
              <w:rPr>
                <w:rFonts w:cstheme="minorHAnsi"/>
                <w:szCs w:val="22"/>
              </w:rPr>
              <w:t>-</w:t>
            </w:r>
            <w:r w:rsidR="00E6538A">
              <w:rPr>
                <w:rFonts w:cstheme="minorHAnsi"/>
                <w:szCs w:val="22"/>
              </w:rPr>
              <w:t xml:space="preserve"> </w:t>
            </w:r>
            <w:r>
              <w:rPr>
                <w:rFonts w:cstheme="minorHAnsi"/>
                <w:szCs w:val="22"/>
              </w:rPr>
              <w:t>There are no Fede</w:t>
            </w:r>
            <w:r w:rsidR="00E6538A">
              <w:rPr>
                <w:rFonts w:cstheme="minorHAnsi"/>
                <w:szCs w:val="22"/>
              </w:rPr>
              <w:t>ral energy efficiency requiremen</w:t>
            </w:r>
            <w:r w:rsidR="005B5AAF">
              <w:rPr>
                <w:rFonts w:cstheme="minorHAnsi"/>
                <w:szCs w:val="22"/>
              </w:rPr>
              <w:t>ts for commercial conveyor broilers</w:t>
            </w:r>
            <w:r>
              <w:rPr>
                <w:rFonts w:cstheme="minorHAnsi"/>
                <w:szCs w:val="22"/>
              </w:rPr>
              <w:t>.</w:t>
            </w:r>
          </w:p>
          <w:p w14:paraId="11A262D6" w14:textId="3D0B6F48" w:rsidR="00D0497B" w:rsidRPr="00A965B2" w:rsidRDefault="00D0497B" w:rsidP="005F4AE2">
            <w:pPr>
              <w:rPr>
                <w:sz w:val="20"/>
                <w:szCs w:val="20"/>
              </w:rPr>
            </w:pPr>
            <w:r>
              <w:rPr>
                <w:rFonts w:cstheme="minorHAnsi"/>
                <w:szCs w:val="22"/>
              </w:rPr>
              <w:t xml:space="preserve">- </w:t>
            </w:r>
            <w:r>
              <w:t>A</w:t>
            </w:r>
            <w:r w:rsidRPr="00BD3F11">
              <w:t>ir Quality Management District</w:t>
            </w:r>
            <w:r>
              <w:t xml:space="preserve"> Rule 1138: Devices Cooking &gt;1250lb of beef per week shall be operated with pollution control equipment which reduces PM</w:t>
            </w:r>
            <w:r w:rsidRPr="001F42D3">
              <w:rPr>
                <w:vertAlign w:val="subscript"/>
              </w:rPr>
              <w:t xml:space="preserve">2.5 </w:t>
            </w:r>
            <w:r>
              <w:t>emissions by at least 85% starting July 1, 2013.  This PM reduction can be achieved through ventilation systems including HEPA filters, Wet Scrubbers, Electrostatic Precipitators or Ultraviolet Filtration.  PM reduction in enclosed cavity broilers such as automatic conveyor broilers can be achieved with a catalyst.</w:t>
            </w:r>
          </w:p>
        </w:tc>
      </w:tr>
      <w:tr w:rsidR="00E84938" w14:paraId="11A262DD" w14:textId="77777777" w:rsidTr="001F1328">
        <w:trPr>
          <w:cantSplit/>
        </w:trPr>
        <w:tc>
          <w:tcPr>
            <w:tcW w:w="1638" w:type="dxa"/>
          </w:tcPr>
          <w:p w14:paraId="11A262D8" w14:textId="77777777" w:rsidR="00E84938" w:rsidRPr="001D77F7" w:rsidRDefault="00E84938" w:rsidP="008724D6">
            <w:pPr>
              <w:jc w:val="right"/>
              <w:rPr>
                <w:b/>
              </w:rPr>
            </w:pPr>
            <w:r w:rsidRPr="00197677">
              <w:rPr>
                <w:rFonts w:cs="Arial"/>
                <w:sz w:val="20"/>
                <w:szCs w:val="20"/>
              </w:rPr>
              <w:lastRenderedPageBreak/>
              <w:t>Requirements</w:t>
            </w:r>
          </w:p>
        </w:tc>
        <w:tc>
          <w:tcPr>
            <w:tcW w:w="7938" w:type="dxa"/>
          </w:tcPr>
          <w:p w14:paraId="11A262D9" w14:textId="77777777" w:rsidR="00D36B0E" w:rsidRPr="00A965B2" w:rsidRDefault="00D36B0E" w:rsidP="00D36B0E">
            <w:pPr>
              <w:ind w:left="270"/>
              <w:rPr>
                <w:rFonts w:cs="Arial"/>
                <w:b/>
                <w:i/>
                <w:sz w:val="20"/>
                <w:szCs w:val="20"/>
              </w:rPr>
            </w:pPr>
            <w:r w:rsidRPr="00A965B2">
              <w:rPr>
                <w:rFonts w:cs="Arial"/>
                <w:b/>
                <w:i/>
                <w:sz w:val="20"/>
                <w:szCs w:val="20"/>
              </w:rPr>
              <w:t>Terms and Conditions</w:t>
            </w:r>
          </w:p>
          <w:p w14:paraId="3F2EB7AD" w14:textId="26FCE663" w:rsidR="00E6538A" w:rsidRPr="003E54D5" w:rsidRDefault="00E6538A" w:rsidP="00E6538A">
            <w:pPr>
              <w:pStyle w:val="NoSpacing"/>
              <w:numPr>
                <w:ilvl w:val="0"/>
                <w:numId w:val="19"/>
              </w:numPr>
            </w:pPr>
            <w:bookmarkStart w:id="2" w:name="_Hlk502140877"/>
            <w:r w:rsidRPr="003E54D5">
              <w:rPr>
                <w:b/>
              </w:rPr>
              <w:t>Eligibility requirements</w:t>
            </w:r>
            <w:r>
              <w:rPr>
                <w:b/>
              </w:rPr>
              <w:t xml:space="preserve"> (Measure)</w:t>
            </w:r>
            <w:r w:rsidRPr="003E54D5">
              <w:t>:</w:t>
            </w:r>
            <w:r w:rsidRPr="009924CD">
              <w:t xml:space="preserve"> </w:t>
            </w:r>
            <w:r w:rsidRPr="003E54D5">
              <w:t>Replacement automatic conveyor bro</w:t>
            </w:r>
            <w:r w:rsidR="005B5AAF">
              <w:t>iler must have a catalyst</w:t>
            </w:r>
            <w:r w:rsidR="004621F7">
              <w:t>,</w:t>
            </w:r>
            <w:r w:rsidR="005B5AAF">
              <w:t xml:space="preserve"> and a maximum</w:t>
            </w:r>
            <w:r w:rsidRPr="003E54D5">
              <w:t xml:space="preserve"> input rate less than 80 kBtu/h or a dual stage or modulating gas valve with a capability of throttling the input rate below 80 kBtu/h.</w:t>
            </w:r>
          </w:p>
          <w:p w14:paraId="7E494AAD" w14:textId="77777777" w:rsidR="00E6538A" w:rsidRPr="003E54D5" w:rsidRDefault="00E6538A" w:rsidP="00E6538A">
            <w:pPr>
              <w:pStyle w:val="NoSpacing"/>
              <w:numPr>
                <w:ilvl w:val="0"/>
                <w:numId w:val="19"/>
              </w:numPr>
            </w:pPr>
            <w:r w:rsidRPr="003E54D5">
              <w:t xml:space="preserve"> </w:t>
            </w:r>
            <w:r w:rsidRPr="003E54D5">
              <w:rPr>
                <w:b/>
              </w:rPr>
              <w:t>Eligibility requirements</w:t>
            </w:r>
            <w:r>
              <w:rPr>
                <w:b/>
              </w:rPr>
              <w:t xml:space="preserve"> (Baseline)</w:t>
            </w:r>
            <w:r w:rsidRPr="003E54D5">
              <w:t>:</w:t>
            </w:r>
            <w:r w:rsidRPr="009924CD">
              <w:t xml:space="preserve"> </w:t>
            </w:r>
            <w:r w:rsidRPr="003E54D5">
              <w:t>Baseline broiler must be an automatic conveyor broiler capable of maintaining a temperature above 600</w:t>
            </w:r>
            <w:r w:rsidRPr="003E54D5">
              <w:rPr>
                <w:rFonts w:cstheme="minorHAnsi"/>
              </w:rPr>
              <w:t>°</w:t>
            </w:r>
            <w:r w:rsidRPr="003E54D5">
              <w:t>F with a tested idle rate greater than:</w:t>
            </w:r>
          </w:p>
          <w:p w14:paraId="5CC2BF17" w14:textId="77777777" w:rsidR="00E6538A" w:rsidRPr="003E54D5" w:rsidRDefault="00E6538A" w:rsidP="00E6538A">
            <w:pPr>
              <w:pStyle w:val="NoSpacing"/>
              <w:numPr>
                <w:ilvl w:val="1"/>
                <w:numId w:val="19"/>
              </w:numPr>
            </w:pPr>
            <w:r w:rsidRPr="003E54D5">
              <w:t>40kBtu/h for a belt narrower than 22”</w:t>
            </w:r>
          </w:p>
          <w:p w14:paraId="3629B317" w14:textId="77777777" w:rsidR="00E6538A" w:rsidRPr="003E54D5" w:rsidRDefault="00E6538A" w:rsidP="00E6538A">
            <w:pPr>
              <w:pStyle w:val="NoSpacing"/>
              <w:numPr>
                <w:ilvl w:val="1"/>
                <w:numId w:val="19"/>
              </w:numPr>
            </w:pPr>
            <w:r w:rsidRPr="003E54D5">
              <w:t>60kBtu/h for a belt between 22 and 28”</w:t>
            </w:r>
          </w:p>
          <w:p w14:paraId="39828772" w14:textId="5210093E" w:rsidR="00E6538A" w:rsidRPr="003E54D5" w:rsidRDefault="00E6538A" w:rsidP="005B5AAF">
            <w:pPr>
              <w:pStyle w:val="NoSpacing"/>
              <w:numPr>
                <w:ilvl w:val="1"/>
                <w:numId w:val="19"/>
              </w:numPr>
            </w:pPr>
            <w:r w:rsidRPr="003E54D5">
              <w:t xml:space="preserve">70kBtu/h for a belt wider than 28” </w:t>
            </w:r>
            <w:bookmarkEnd w:id="2"/>
          </w:p>
          <w:p w14:paraId="11A262DC" w14:textId="738A2012" w:rsidR="00BD7ED5" w:rsidRPr="00E6538A" w:rsidRDefault="00E6538A" w:rsidP="00E6538A">
            <w:pPr>
              <w:pStyle w:val="NoSpacing"/>
              <w:numPr>
                <w:ilvl w:val="0"/>
                <w:numId w:val="19"/>
              </w:numPr>
            </w:pPr>
            <w:r w:rsidRPr="003E54D5">
              <w:rPr>
                <w:b/>
              </w:rPr>
              <w:t>Implementation and installation requirements</w:t>
            </w:r>
            <w:r w:rsidRPr="003E54D5">
              <w:t>: M</w:t>
            </w:r>
            <w:r w:rsidR="005B5AAF">
              <w:t>ust be installed under a Type I</w:t>
            </w:r>
            <w:r w:rsidRPr="003E54D5">
              <w:t xml:space="preserve"> Hood</w:t>
            </w:r>
          </w:p>
        </w:tc>
      </w:tr>
      <w:tr w:rsidR="00DB71F1" w14:paraId="11A262E0" w14:textId="77777777" w:rsidTr="001F1328">
        <w:trPr>
          <w:cantSplit/>
        </w:trPr>
        <w:tc>
          <w:tcPr>
            <w:tcW w:w="1638" w:type="dxa"/>
          </w:tcPr>
          <w:p w14:paraId="11A262DE" w14:textId="77777777" w:rsidR="00DB71F1" w:rsidRPr="001D77F7" w:rsidRDefault="00DB71F1" w:rsidP="002A7EFE">
            <w:pPr>
              <w:rPr>
                <w:b/>
              </w:rPr>
            </w:pPr>
            <w:r w:rsidRPr="001D77F7">
              <w:rPr>
                <w:b/>
              </w:rPr>
              <w:t>1.3 Installation Type and Delivery Mechanisms</w:t>
            </w:r>
          </w:p>
        </w:tc>
        <w:tc>
          <w:tcPr>
            <w:tcW w:w="7938" w:type="dxa"/>
          </w:tcPr>
          <w:p w14:paraId="11A262DF" w14:textId="77777777" w:rsidR="00DB71F1" w:rsidRPr="00D86243" w:rsidRDefault="00DB71F1" w:rsidP="002A7EFE">
            <w:pPr>
              <w:rPr>
                <w:rFonts w:cs="Arial"/>
                <w:sz w:val="20"/>
                <w:szCs w:val="20"/>
              </w:rPr>
            </w:pPr>
          </w:p>
        </w:tc>
      </w:tr>
      <w:tr w:rsidR="00DB71F1" w14:paraId="11A262E3" w14:textId="77777777" w:rsidTr="001F1328">
        <w:trPr>
          <w:cantSplit/>
        </w:trPr>
        <w:tc>
          <w:tcPr>
            <w:tcW w:w="1638" w:type="dxa"/>
            <w:vAlign w:val="center"/>
          </w:tcPr>
          <w:p w14:paraId="11A262E1" w14:textId="77777777" w:rsidR="00DB71F1" w:rsidRPr="00822B6F" w:rsidRDefault="00DB71F1" w:rsidP="002A7EFE">
            <w:pPr>
              <w:jc w:val="right"/>
              <w:rPr>
                <w:sz w:val="20"/>
                <w:szCs w:val="20"/>
              </w:rPr>
            </w:pPr>
            <w:r w:rsidRPr="00822B6F">
              <w:rPr>
                <w:sz w:val="20"/>
                <w:szCs w:val="20"/>
              </w:rPr>
              <w:t>Installation Type</w:t>
            </w:r>
          </w:p>
        </w:tc>
        <w:tc>
          <w:tcPr>
            <w:tcW w:w="7938" w:type="dxa"/>
          </w:tcPr>
          <w:p w14:paraId="11A262E2" w14:textId="3E80B7AF" w:rsidR="00CF2ABA" w:rsidRPr="00F6244F" w:rsidRDefault="009B125C" w:rsidP="00FE636E">
            <w:pPr>
              <w:rPr>
                <w:rFonts w:cs="Arial"/>
                <w:sz w:val="20"/>
                <w:szCs w:val="20"/>
              </w:rPr>
            </w:pPr>
            <w:r>
              <w:rPr>
                <w:sz w:val="20"/>
                <w:szCs w:val="20"/>
              </w:rPr>
              <w:t>ROBNC (ROB or NC)</w:t>
            </w:r>
            <w:r w:rsidR="005E0A85">
              <w:rPr>
                <w:sz w:val="20"/>
                <w:szCs w:val="20"/>
              </w:rPr>
              <w:t xml:space="preserve">  </w:t>
            </w:r>
          </w:p>
        </w:tc>
      </w:tr>
      <w:tr w:rsidR="00DB71F1" w14:paraId="11A262E6" w14:textId="77777777" w:rsidTr="001F1328">
        <w:trPr>
          <w:cantSplit/>
        </w:trPr>
        <w:tc>
          <w:tcPr>
            <w:tcW w:w="1638" w:type="dxa"/>
            <w:vAlign w:val="center"/>
          </w:tcPr>
          <w:p w14:paraId="11A262E4" w14:textId="77777777" w:rsidR="00DB71F1" w:rsidRPr="00822B6F" w:rsidRDefault="00DB71F1" w:rsidP="002A7EFE">
            <w:pPr>
              <w:jc w:val="right"/>
              <w:rPr>
                <w:sz w:val="20"/>
                <w:szCs w:val="20"/>
              </w:rPr>
            </w:pPr>
            <w:r w:rsidRPr="00822B6F">
              <w:rPr>
                <w:sz w:val="20"/>
                <w:szCs w:val="20"/>
              </w:rPr>
              <w:t>Delivery Mechanisms</w:t>
            </w:r>
          </w:p>
        </w:tc>
        <w:tc>
          <w:tcPr>
            <w:tcW w:w="7938" w:type="dxa"/>
          </w:tcPr>
          <w:p w14:paraId="22201A6B" w14:textId="77777777" w:rsidR="00B9551F" w:rsidRDefault="00DB71F1" w:rsidP="00076614">
            <w:pPr>
              <w:rPr>
                <w:rFonts w:cs="Arial"/>
                <w:sz w:val="20"/>
                <w:szCs w:val="20"/>
              </w:rPr>
            </w:pPr>
            <w:r w:rsidRPr="00FE636E">
              <w:rPr>
                <w:rFonts w:cs="Arial"/>
                <w:sz w:val="20"/>
                <w:szCs w:val="20"/>
              </w:rPr>
              <w:t xml:space="preserve">Downstream </w:t>
            </w:r>
            <w:r w:rsidR="003E0DC8" w:rsidRPr="00FE636E">
              <w:rPr>
                <w:rFonts w:cs="Arial"/>
                <w:sz w:val="20"/>
                <w:szCs w:val="20"/>
              </w:rPr>
              <w:t>Rebate</w:t>
            </w:r>
            <w:r w:rsidRPr="00FE636E">
              <w:rPr>
                <w:rFonts w:cs="Arial"/>
                <w:sz w:val="20"/>
                <w:szCs w:val="20"/>
              </w:rPr>
              <w:t xml:space="preserve"> – Deemed</w:t>
            </w:r>
          </w:p>
          <w:p w14:paraId="77167193" w14:textId="2820E7E4" w:rsidR="008365EB" w:rsidRDefault="008365EB" w:rsidP="00076614">
            <w:pPr>
              <w:rPr>
                <w:rFonts w:cs="Arial"/>
                <w:sz w:val="20"/>
                <w:szCs w:val="20"/>
              </w:rPr>
            </w:pPr>
          </w:p>
          <w:p w14:paraId="11A262E5" w14:textId="1289BDD7" w:rsidR="008365EB" w:rsidRPr="00FE636E" w:rsidRDefault="008365EB" w:rsidP="00076614">
            <w:pPr>
              <w:rPr>
                <w:rFonts w:cs="Arial"/>
                <w:sz w:val="20"/>
                <w:szCs w:val="20"/>
              </w:rPr>
            </w:pPr>
          </w:p>
        </w:tc>
      </w:tr>
      <w:tr w:rsidR="00DB71F1" w14:paraId="11A262E9" w14:textId="77777777" w:rsidTr="001F1328">
        <w:trPr>
          <w:cantSplit/>
        </w:trPr>
        <w:tc>
          <w:tcPr>
            <w:tcW w:w="1638" w:type="dxa"/>
          </w:tcPr>
          <w:p w14:paraId="11A262E7" w14:textId="77777777" w:rsidR="00DB71F1" w:rsidRPr="001D77F7" w:rsidRDefault="00DB71F1" w:rsidP="002A7EFE">
            <w:pPr>
              <w:rPr>
                <w:b/>
              </w:rPr>
            </w:pPr>
            <w:r w:rsidRPr="001D77F7">
              <w:rPr>
                <w:b/>
              </w:rPr>
              <w:t>1.4.1 DEER Data</w:t>
            </w:r>
          </w:p>
        </w:tc>
        <w:tc>
          <w:tcPr>
            <w:tcW w:w="7938" w:type="dxa"/>
          </w:tcPr>
          <w:p w14:paraId="11A262E8" w14:textId="77777777" w:rsidR="00DB71F1" w:rsidRDefault="00DB71F1" w:rsidP="002A7EFE"/>
        </w:tc>
      </w:tr>
      <w:tr w:rsidR="00A61271" w14:paraId="11A262EC" w14:textId="77777777" w:rsidTr="001F1328">
        <w:trPr>
          <w:cantSplit/>
        </w:trPr>
        <w:tc>
          <w:tcPr>
            <w:tcW w:w="1638" w:type="dxa"/>
            <w:vAlign w:val="center"/>
          </w:tcPr>
          <w:p w14:paraId="11A262EA" w14:textId="77777777" w:rsidR="00A61271" w:rsidRPr="00D3336A" w:rsidRDefault="00A61271" w:rsidP="002A7EFE">
            <w:pPr>
              <w:jc w:val="right"/>
              <w:rPr>
                <w:sz w:val="20"/>
                <w:szCs w:val="20"/>
              </w:rPr>
            </w:pPr>
            <w:r w:rsidRPr="00D3336A">
              <w:rPr>
                <w:sz w:val="20"/>
                <w:szCs w:val="20"/>
              </w:rPr>
              <w:t>Net-to-Gross Ratio</w:t>
            </w:r>
          </w:p>
        </w:tc>
        <w:tc>
          <w:tcPr>
            <w:tcW w:w="7938" w:type="dxa"/>
          </w:tcPr>
          <w:p w14:paraId="11A262EB" w14:textId="52A7B3CB" w:rsidR="00A61271" w:rsidRPr="00D3336A" w:rsidRDefault="008365EB" w:rsidP="00D3336A">
            <w:pPr>
              <w:tabs>
                <w:tab w:val="right" w:pos="6732"/>
              </w:tabs>
              <w:rPr>
                <w:rFonts w:cs="Arial"/>
                <w:sz w:val="20"/>
                <w:szCs w:val="20"/>
              </w:rPr>
            </w:pPr>
            <w:r>
              <w:rPr>
                <w:rFonts w:cs="Arial"/>
                <w:sz w:val="20"/>
                <w:szCs w:val="20"/>
              </w:rPr>
              <w:t>All-Default &lt;=2yrs  0.7</w:t>
            </w:r>
          </w:p>
        </w:tc>
      </w:tr>
      <w:tr w:rsidR="00A61271" w14:paraId="11A262FF" w14:textId="77777777" w:rsidTr="001F1328">
        <w:trPr>
          <w:cantSplit/>
        </w:trPr>
        <w:tc>
          <w:tcPr>
            <w:tcW w:w="1638" w:type="dxa"/>
            <w:vAlign w:val="center"/>
          </w:tcPr>
          <w:p w14:paraId="11A262ED" w14:textId="77777777" w:rsidR="00A61271" w:rsidRPr="00822B6F" w:rsidRDefault="00A61271" w:rsidP="002A7EFE">
            <w:pPr>
              <w:jc w:val="right"/>
              <w:rPr>
                <w:sz w:val="20"/>
                <w:szCs w:val="20"/>
              </w:rPr>
            </w:pPr>
            <w:r w:rsidRPr="00822B6F">
              <w:rPr>
                <w:sz w:val="20"/>
                <w:szCs w:val="20"/>
              </w:rPr>
              <w:t>Effective and Remaining Useful Life</w:t>
            </w:r>
          </w:p>
        </w:tc>
        <w:tc>
          <w:tcPr>
            <w:tcW w:w="7938" w:type="dxa"/>
          </w:tcPr>
          <w:p w14:paraId="11A262EE" w14:textId="77777777" w:rsidR="0051536D" w:rsidRDefault="0051536D">
            <w:pPr>
              <w:tabs>
                <w:tab w:val="right" w:pos="6732"/>
              </w:tabs>
              <w:rPr>
                <w:rFonts w:cstheme="minorHAnsi"/>
                <w:szCs w:val="20"/>
              </w:rPr>
            </w:pPr>
          </w:p>
          <w:tbl>
            <w:tblPr>
              <w:tblStyle w:val="TableGrid"/>
              <w:tblW w:w="0" w:type="auto"/>
              <w:tblLayout w:type="fixed"/>
              <w:tblLook w:val="04A0" w:firstRow="1" w:lastRow="0" w:firstColumn="1" w:lastColumn="0" w:noHBand="0" w:noVBand="1"/>
            </w:tblPr>
            <w:tblGrid>
              <w:gridCol w:w="1504"/>
              <w:gridCol w:w="2185"/>
              <w:gridCol w:w="735"/>
              <w:gridCol w:w="1256"/>
              <w:gridCol w:w="1309"/>
            </w:tblGrid>
            <w:tr w:rsidR="00A75B5B" w14:paraId="11A262F4" w14:textId="77777777" w:rsidTr="001F1328">
              <w:tc>
                <w:tcPr>
                  <w:tcW w:w="1504" w:type="dxa"/>
                </w:tcPr>
                <w:p w14:paraId="11A262EF" w14:textId="77777777" w:rsidR="00A75B5B" w:rsidRPr="00F6244F" w:rsidRDefault="00A75B5B">
                  <w:pPr>
                    <w:tabs>
                      <w:tab w:val="right" w:pos="6732"/>
                    </w:tabs>
                    <w:rPr>
                      <w:rFonts w:cs="Arial"/>
                      <w:sz w:val="20"/>
                      <w:szCs w:val="20"/>
                    </w:rPr>
                  </w:pPr>
                  <w:r w:rsidRPr="00F6244F">
                    <w:rPr>
                      <w:rFonts w:cs="Arial"/>
                      <w:sz w:val="20"/>
                      <w:szCs w:val="20"/>
                    </w:rPr>
                    <w:t>EUL ID</w:t>
                  </w:r>
                </w:p>
              </w:tc>
              <w:tc>
                <w:tcPr>
                  <w:tcW w:w="2185" w:type="dxa"/>
                </w:tcPr>
                <w:p w14:paraId="11A262F0" w14:textId="77777777" w:rsidR="00A75B5B" w:rsidRPr="00481A9D" w:rsidRDefault="00A75B5B">
                  <w:pPr>
                    <w:tabs>
                      <w:tab w:val="right" w:pos="6732"/>
                    </w:tabs>
                    <w:rPr>
                      <w:rFonts w:cs="Arial"/>
                      <w:sz w:val="20"/>
                      <w:szCs w:val="20"/>
                    </w:rPr>
                  </w:pPr>
                  <w:r w:rsidRPr="00481A9D">
                    <w:rPr>
                      <w:rFonts w:cs="Arial"/>
                      <w:sz w:val="20"/>
                      <w:szCs w:val="20"/>
                    </w:rPr>
                    <w:t>Description</w:t>
                  </w:r>
                </w:p>
              </w:tc>
              <w:tc>
                <w:tcPr>
                  <w:tcW w:w="735" w:type="dxa"/>
                </w:tcPr>
                <w:p w14:paraId="11A262F1" w14:textId="77777777" w:rsidR="00A75B5B" w:rsidRPr="00481A9D" w:rsidRDefault="00A75B5B">
                  <w:pPr>
                    <w:tabs>
                      <w:tab w:val="right" w:pos="6732"/>
                    </w:tabs>
                    <w:rPr>
                      <w:rFonts w:cs="Arial"/>
                      <w:sz w:val="20"/>
                      <w:szCs w:val="20"/>
                    </w:rPr>
                  </w:pPr>
                  <w:r w:rsidRPr="00481A9D">
                    <w:rPr>
                      <w:rFonts w:cs="Arial"/>
                      <w:sz w:val="20"/>
                      <w:szCs w:val="20"/>
                    </w:rPr>
                    <w:t>Sector</w:t>
                  </w:r>
                </w:p>
              </w:tc>
              <w:tc>
                <w:tcPr>
                  <w:tcW w:w="1256" w:type="dxa"/>
                </w:tcPr>
                <w:p w14:paraId="11A262F2" w14:textId="77777777" w:rsidR="00A75B5B" w:rsidRPr="00481A9D" w:rsidRDefault="00A75B5B">
                  <w:pPr>
                    <w:tabs>
                      <w:tab w:val="right" w:pos="6732"/>
                    </w:tabs>
                    <w:rPr>
                      <w:rFonts w:cs="Arial"/>
                      <w:sz w:val="20"/>
                      <w:szCs w:val="20"/>
                    </w:rPr>
                  </w:pPr>
                  <w:r w:rsidRPr="00481A9D">
                    <w:rPr>
                      <w:rFonts w:cs="Arial"/>
                      <w:sz w:val="20"/>
                      <w:szCs w:val="20"/>
                    </w:rPr>
                    <w:t>UseCategory</w:t>
                  </w:r>
                </w:p>
              </w:tc>
              <w:tc>
                <w:tcPr>
                  <w:tcW w:w="1309" w:type="dxa"/>
                </w:tcPr>
                <w:p w14:paraId="11A262F3" w14:textId="77777777" w:rsidR="00A75B5B" w:rsidRPr="00481A9D" w:rsidRDefault="00A75B5B">
                  <w:pPr>
                    <w:tabs>
                      <w:tab w:val="right" w:pos="6732"/>
                    </w:tabs>
                    <w:rPr>
                      <w:rFonts w:cs="Arial"/>
                      <w:sz w:val="20"/>
                      <w:szCs w:val="20"/>
                    </w:rPr>
                  </w:pPr>
                  <w:r>
                    <w:rPr>
                      <w:rFonts w:cs="Arial"/>
                      <w:sz w:val="20"/>
                      <w:szCs w:val="20"/>
                    </w:rPr>
                    <w:t>EUL ( years)</w:t>
                  </w:r>
                </w:p>
              </w:tc>
            </w:tr>
            <w:tr w:rsidR="00A75B5B" w14:paraId="11A262FA" w14:textId="77777777" w:rsidTr="001F1328">
              <w:tc>
                <w:tcPr>
                  <w:tcW w:w="1504" w:type="dxa"/>
                </w:tcPr>
                <w:p w14:paraId="11A262F5" w14:textId="0C273A61" w:rsidR="00A75B5B" w:rsidRPr="00A965B2" w:rsidRDefault="00026262" w:rsidP="002A7EFE">
                  <w:pPr>
                    <w:rPr>
                      <w:color w:val="FF0000"/>
                      <w:sz w:val="20"/>
                      <w:szCs w:val="20"/>
                    </w:rPr>
                  </w:pPr>
                  <w:r w:rsidRPr="00026262">
                    <w:rPr>
                      <w:rFonts w:cstheme="minorHAnsi"/>
                      <w:sz w:val="20"/>
                      <w:szCs w:val="20"/>
                    </w:rPr>
                    <w:t>Cook-GasConvOven</w:t>
                  </w:r>
                  <w:r>
                    <w:rPr>
                      <w:rFonts w:cstheme="minorHAnsi"/>
                      <w:sz w:val="20"/>
                      <w:szCs w:val="20"/>
                    </w:rPr>
                    <w:t>*</w:t>
                  </w:r>
                </w:p>
              </w:tc>
              <w:tc>
                <w:tcPr>
                  <w:tcW w:w="2185" w:type="dxa"/>
                </w:tcPr>
                <w:p w14:paraId="11A262F6" w14:textId="3427D82B" w:rsidR="00A75B5B" w:rsidRPr="00A965B2" w:rsidRDefault="008365EB" w:rsidP="002A7EFE">
                  <w:pPr>
                    <w:rPr>
                      <w:color w:val="FF0000"/>
                      <w:sz w:val="20"/>
                      <w:szCs w:val="20"/>
                    </w:rPr>
                  </w:pPr>
                  <w:r>
                    <w:rPr>
                      <w:rFonts w:cstheme="minorHAnsi"/>
                      <w:sz w:val="20"/>
                      <w:szCs w:val="20"/>
                    </w:rPr>
                    <w:t>Automatic Conveyor Broilers</w:t>
                  </w:r>
                </w:p>
              </w:tc>
              <w:tc>
                <w:tcPr>
                  <w:tcW w:w="735" w:type="dxa"/>
                </w:tcPr>
                <w:p w14:paraId="11A262F7" w14:textId="77777777" w:rsidR="00A75B5B" w:rsidRPr="00A965B2" w:rsidRDefault="00A75B5B" w:rsidP="002A7EFE">
                  <w:pPr>
                    <w:rPr>
                      <w:color w:val="FF0000"/>
                      <w:sz w:val="20"/>
                      <w:szCs w:val="20"/>
                    </w:rPr>
                  </w:pPr>
                  <w:r w:rsidRPr="00A965B2">
                    <w:rPr>
                      <w:rFonts w:cstheme="minorHAnsi"/>
                      <w:sz w:val="20"/>
                      <w:szCs w:val="20"/>
                    </w:rPr>
                    <w:t>Com</w:t>
                  </w:r>
                </w:p>
              </w:tc>
              <w:tc>
                <w:tcPr>
                  <w:tcW w:w="1256" w:type="dxa"/>
                </w:tcPr>
                <w:p w14:paraId="11A262F8" w14:textId="55B447DE" w:rsidR="00A75B5B" w:rsidRPr="00A965B2" w:rsidRDefault="00A75B5B" w:rsidP="002A7EFE">
                  <w:pPr>
                    <w:rPr>
                      <w:color w:val="FF0000"/>
                      <w:sz w:val="20"/>
                      <w:szCs w:val="20"/>
                    </w:rPr>
                  </w:pPr>
                  <w:r>
                    <w:rPr>
                      <w:rFonts w:cstheme="minorHAnsi"/>
                      <w:sz w:val="20"/>
                      <w:szCs w:val="20"/>
                    </w:rPr>
                    <w:t>FoodServ</w:t>
                  </w:r>
                  <w:r w:rsidR="008365EB">
                    <w:rPr>
                      <w:rFonts w:cstheme="minorHAnsi"/>
                      <w:sz w:val="20"/>
                      <w:szCs w:val="20"/>
                    </w:rPr>
                    <w:t>ice</w:t>
                  </w:r>
                </w:p>
              </w:tc>
              <w:tc>
                <w:tcPr>
                  <w:tcW w:w="1309" w:type="dxa"/>
                </w:tcPr>
                <w:p w14:paraId="11A262F9" w14:textId="17AA33DE" w:rsidR="00A75B5B" w:rsidRDefault="008365EB" w:rsidP="002A7EFE">
                  <w:pPr>
                    <w:rPr>
                      <w:rFonts w:cstheme="minorHAnsi"/>
                      <w:sz w:val="20"/>
                      <w:szCs w:val="20"/>
                    </w:rPr>
                  </w:pPr>
                  <w:r>
                    <w:rPr>
                      <w:rFonts w:cstheme="minorHAnsi"/>
                      <w:sz w:val="20"/>
                      <w:szCs w:val="20"/>
                    </w:rPr>
                    <w:t>12</w:t>
                  </w:r>
                </w:p>
              </w:tc>
            </w:tr>
            <w:tr w:rsidR="00A75B5B" w14:paraId="11A262FD" w14:textId="77777777" w:rsidTr="001F1328">
              <w:tc>
                <w:tcPr>
                  <w:tcW w:w="5680" w:type="dxa"/>
                  <w:gridSpan w:val="4"/>
                  <w:tcBorders>
                    <w:left w:val="nil"/>
                    <w:bottom w:val="nil"/>
                    <w:right w:val="nil"/>
                  </w:tcBorders>
                </w:tcPr>
                <w:p w14:paraId="11A262FB" w14:textId="5C71F6BD" w:rsidR="00A75B5B" w:rsidRDefault="00026262">
                  <w:pPr>
                    <w:tabs>
                      <w:tab w:val="right" w:pos="6732"/>
                    </w:tabs>
                    <w:rPr>
                      <w:rFonts w:cs="Arial"/>
                      <w:sz w:val="20"/>
                      <w:szCs w:val="20"/>
                    </w:rPr>
                  </w:pPr>
                  <w:r>
                    <w:rPr>
                      <w:rFonts w:cs="Arial"/>
                      <w:sz w:val="20"/>
                      <w:szCs w:val="20"/>
                    </w:rPr>
                    <w:t>*</w:t>
                  </w:r>
                  <w:r w:rsidRPr="00026262">
                    <w:rPr>
                      <w:rFonts w:cs="Arial"/>
                      <w:sz w:val="20"/>
                      <w:szCs w:val="20"/>
                    </w:rPr>
                    <w:t>Note:</w:t>
                  </w:r>
                  <w:r w:rsidRPr="00026262">
                    <w:rPr>
                      <w:rFonts w:cstheme="minorHAnsi"/>
                      <w:sz w:val="20"/>
                      <w:szCs w:val="20"/>
                    </w:rPr>
                    <w:t xml:space="preserve"> Cook-ConvBroiler is the</w:t>
                  </w:r>
                  <w:r>
                    <w:rPr>
                      <w:rFonts w:cstheme="minorHAnsi"/>
                      <w:sz w:val="20"/>
                      <w:szCs w:val="20"/>
                    </w:rPr>
                    <w:t xml:space="preserve"> EUL_ID used by SCG and proposed to include in the DEER but not available in DEER at the time of preparing this short form. Hence using </w:t>
                  </w:r>
                  <w:r w:rsidRPr="00026262">
                    <w:rPr>
                      <w:rFonts w:cstheme="minorHAnsi"/>
                      <w:sz w:val="20"/>
                      <w:szCs w:val="20"/>
                    </w:rPr>
                    <w:t>Cook-GasConvOven</w:t>
                  </w:r>
                  <w:r>
                    <w:rPr>
                      <w:rFonts w:cstheme="minorHAnsi"/>
                      <w:sz w:val="20"/>
                      <w:szCs w:val="20"/>
                    </w:rPr>
                    <w:t xml:space="preserve"> in the interim.</w:t>
                  </w:r>
                </w:p>
              </w:tc>
              <w:tc>
                <w:tcPr>
                  <w:tcW w:w="1309" w:type="dxa"/>
                  <w:tcBorders>
                    <w:left w:val="nil"/>
                    <w:bottom w:val="nil"/>
                    <w:right w:val="nil"/>
                  </w:tcBorders>
                </w:tcPr>
                <w:p w14:paraId="11A262FC" w14:textId="77777777" w:rsidR="00A75B5B" w:rsidRDefault="00A75B5B">
                  <w:pPr>
                    <w:tabs>
                      <w:tab w:val="right" w:pos="6732"/>
                    </w:tabs>
                    <w:rPr>
                      <w:rFonts w:cs="Arial"/>
                      <w:sz w:val="20"/>
                      <w:szCs w:val="20"/>
                    </w:rPr>
                  </w:pPr>
                </w:p>
              </w:tc>
            </w:tr>
          </w:tbl>
          <w:p w14:paraId="11A262FE" w14:textId="77777777" w:rsidR="0051536D" w:rsidRPr="00D86243" w:rsidRDefault="0051536D">
            <w:pPr>
              <w:tabs>
                <w:tab w:val="right" w:pos="6732"/>
              </w:tabs>
              <w:rPr>
                <w:rFonts w:cs="Arial"/>
                <w:sz w:val="20"/>
                <w:szCs w:val="20"/>
              </w:rPr>
            </w:pPr>
          </w:p>
        </w:tc>
      </w:tr>
      <w:tr w:rsidR="00A61271" w14:paraId="11A26302" w14:textId="77777777" w:rsidTr="001F1328">
        <w:trPr>
          <w:cantSplit/>
        </w:trPr>
        <w:tc>
          <w:tcPr>
            <w:tcW w:w="1638" w:type="dxa"/>
            <w:vAlign w:val="center"/>
          </w:tcPr>
          <w:p w14:paraId="11A26300" w14:textId="77777777" w:rsidR="00A61271" w:rsidRPr="001D77F7" w:rsidRDefault="00A61271" w:rsidP="002A7EFE">
            <w:pPr>
              <w:rPr>
                <w:b/>
              </w:rPr>
            </w:pPr>
            <w:r w:rsidRPr="001D77F7">
              <w:rPr>
                <w:b/>
              </w:rPr>
              <w:t>Section 2. Calculation Methodology</w:t>
            </w:r>
          </w:p>
        </w:tc>
        <w:tc>
          <w:tcPr>
            <w:tcW w:w="7938" w:type="dxa"/>
            <w:vAlign w:val="center"/>
          </w:tcPr>
          <w:p w14:paraId="11A26301" w14:textId="77777777" w:rsidR="00A61271" w:rsidRPr="00241A1F" w:rsidRDefault="008D0B3C">
            <w:pPr>
              <w:rPr>
                <w:rFonts w:cs="Arial"/>
                <w:sz w:val="20"/>
                <w:szCs w:val="20"/>
              </w:rPr>
            </w:pPr>
            <w:r>
              <w:rPr>
                <w:rFonts w:cs="Arial"/>
                <w:sz w:val="20"/>
                <w:szCs w:val="20"/>
              </w:rPr>
              <w:t>DEER</w:t>
            </w:r>
            <w:r w:rsidR="00DA5D17">
              <w:rPr>
                <w:rFonts w:cs="Arial"/>
                <w:sz w:val="20"/>
                <w:szCs w:val="20"/>
              </w:rPr>
              <w:t xml:space="preserve"> 2016</w:t>
            </w:r>
          </w:p>
        </w:tc>
      </w:tr>
      <w:tr w:rsidR="00A61271" w14:paraId="11A26337" w14:textId="77777777" w:rsidTr="001F1328">
        <w:trPr>
          <w:cantSplit/>
        </w:trPr>
        <w:tc>
          <w:tcPr>
            <w:tcW w:w="1638" w:type="dxa"/>
            <w:vAlign w:val="center"/>
          </w:tcPr>
          <w:p w14:paraId="11A26303" w14:textId="77777777" w:rsidR="00A61271" w:rsidRDefault="00A61271" w:rsidP="00787D7C">
            <w:pPr>
              <w:jc w:val="right"/>
            </w:pPr>
            <w:r>
              <w:rPr>
                <w:rFonts w:cs="Arial"/>
                <w:sz w:val="20"/>
                <w:szCs w:val="20"/>
              </w:rPr>
              <w:lastRenderedPageBreak/>
              <w:t>Energy Savings/Peak Demand Reduction – All Measures</w:t>
            </w:r>
          </w:p>
        </w:tc>
        <w:tc>
          <w:tcPr>
            <w:tcW w:w="7938" w:type="dxa"/>
          </w:tcPr>
          <w:p w14:paraId="11A26304" w14:textId="14009C26" w:rsidR="00D84702" w:rsidRDefault="0006116B" w:rsidP="00D84702">
            <w:pPr>
              <w:rPr>
                <w:b/>
                <w:sz w:val="20"/>
                <w:szCs w:val="20"/>
              </w:rPr>
            </w:pPr>
            <w:r>
              <w:rPr>
                <w:b/>
                <w:sz w:val="20"/>
                <w:szCs w:val="20"/>
              </w:rPr>
              <w:t>As cited in SCG</w:t>
            </w:r>
            <w:r w:rsidR="00D84702" w:rsidRPr="00A965B2">
              <w:rPr>
                <w:b/>
                <w:sz w:val="20"/>
                <w:szCs w:val="20"/>
              </w:rPr>
              <w:t>’s workpaper the Savings are:</w:t>
            </w:r>
          </w:p>
          <w:tbl>
            <w:tblPr>
              <w:tblStyle w:val="TableGrid1"/>
              <w:tblW w:w="5000" w:type="pct"/>
              <w:tblLayout w:type="fixed"/>
              <w:tblLook w:val="01E0" w:firstRow="1" w:lastRow="1" w:firstColumn="1" w:lastColumn="1" w:noHBand="0" w:noVBand="0"/>
            </w:tblPr>
            <w:tblGrid>
              <w:gridCol w:w="1314"/>
              <w:gridCol w:w="2133"/>
              <w:gridCol w:w="2133"/>
              <w:gridCol w:w="2132"/>
            </w:tblGrid>
            <w:tr w:rsidR="0006116B" w:rsidRPr="00500C4E" w14:paraId="23B5843B" w14:textId="77777777" w:rsidTr="001F1328">
              <w:trPr>
                <w:trHeight w:val="465"/>
              </w:trPr>
              <w:tc>
                <w:tcPr>
                  <w:tcW w:w="852" w:type="pct"/>
                </w:tcPr>
                <w:p w14:paraId="7C3876E7" w14:textId="77777777" w:rsidR="0006116B" w:rsidRPr="00920905" w:rsidRDefault="0006116B" w:rsidP="0006116B">
                  <w:pPr>
                    <w:rPr>
                      <w:b/>
                      <w:szCs w:val="20"/>
                    </w:rPr>
                  </w:pPr>
                  <w:bookmarkStart w:id="3" w:name="_Hlk501714429"/>
                  <w:r w:rsidRPr="00500C4E">
                    <w:rPr>
                      <w:szCs w:val="20"/>
                    </w:rPr>
                    <w:t>Measure Codes</w:t>
                  </w:r>
                </w:p>
              </w:tc>
              <w:tc>
                <w:tcPr>
                  <w:tcW w:w="1383" w:type="pct"/>
                </w:tcPr>
                <w:p w14:paraId="1D368809" w14:textId="03D96234" w:rsidR="0006116B" w:rsidRPr="0006116B" w:rsidRDefault="0006116B" w:rsidP="0006116B">
                  <w:pPr>
                    <w:rPr>
                      <w:rFonts w:cs="Arial"/>
                      <w:szCs w:val="20"/>
                    </w:rPr>
                  </w:pPr>
                  <w:r w:rsidRPr="0006116B">
                    <w:rPr>
                      <w:rFonts w:cs="Arial"/>
                      <w:szCs w:val="20"/>
                    </w:rPr>
                    <w:t>FS023</w:t>
                  </w:r>
                </w:p>
              </w:tc>
              <w:tc>
                <w:tcPr>
                  <w:tcW w:w="1383" w:type="pct"/>
                </w:tcPr>
                <w:p w14:paraId="500D8E85" w14:textId="31829435" w:rsidR="0006116B" w:rsidRPr="0006116B" w:rsidRDefault="0006116B" w:rsidP="0006116B">
                  <w:pPr>
                    <w:rPr>
                      <w:rFonts w:cs="Arial"/>
                      <w:szCs w:val="20"/>
                    </w:rPr>
                  </w:pPr>
                  <w:r w:rsidRPr="0006116B">
                    <w:rPr>
                      <w:rFonts w:cs="Arial"/>
                      <w:szCs w:val="20"/>
                    </w:rPr>
                    <w:t>FS024</w:t>
                  </w:r>
                </w:p>
              </w:tc>
              <w:tc>
                <w:tcPr>
                  <w:tcW w:w="1383" w:type="pct"/>
                </w:tcPr>
                <w:p w14:paraId="33216892" w14:textId="6690655C" w:rsidR="0006116B" w:rsidRPr="0006116B" w:rsidRDefault="0006116B" w:rsidP="0006116B">
                  <w:pPr>
                    <w:rPr>
                      <w:rFonts w:cs="Arial"/>
                      <w:bCs/>
                      <w:szCs w:val="20"/>
                    </w:rPr>
                  </w:pPr>
                  <w:r w:rsidRPr="0006116B">
                    <w:rPr>
                      <w:rFonts w:cs="Arial"/>
                      <w:szCs w:val="20"/>
                    </w:rPr>
                    <w:t>FS025</w:t>
                  </w:r>
                </w:p>
              </w:tc>
            </w:tr>
            <w:tr w:rsidR="0006116B" w:rsidRPr="00500C4E" w14:paraId="65A20FB2" w14:textId="77777777" w:rsidTr="001F1328">
              <w:trPr>
                <w:trHeight w:val="465"/>
              </w:trPr>
              <w:tc>
                <w:tcPr>
                  <w:tcW w:w="852" w:type="pct"/>
                </w:tcPr>
                <w:p w14:paraId="059E8116" w14:textId="77777777" w:rsidR="0006116B" w:rsidRPr="00500C4E" w:rsidRDefault="0006116B" w:rsidP="0006116B">
                  <w:pPr>
                    <w:rPr>
                      <w:szCs w:val="20"/>
                    </w:rPr>
                  </w:pPr>
                  <w:r w:rsidRPr="00500C4E">
                    <w:rPr>
                      <w:szCs w:val="20"/>
                    </w:rPr>
                    <w:t>Measure Description</w:t>
                  </w:r>
                </w:p>
              </w:tc>
              <w:tc>
                <w:tcPr>
                  <w:tcW w:w="1383" w:type="pct"/>
                </w:tcPr>
                <w:p w14:paraId="2CCADE91" w14:textId="77777777" w:rsidR="0006116B" w:rsidRPr="00246AFC" w:rsidRDefault="0006116B" w:rsidP="0006116B">
                  <w:pPr>
                    <w:rPr>
                      <w:rFonts w:cs="Arial"/>
                      <w:szCs w:val="20"/>
                    </w:rPr>
                  </w:pPr>
                  <w:r w:rsidRPr="00246AFC">
                    <w:rPr>
                      <w:rFonts w:cs="Arial"/>
                      <w:szCs w:val="20"/>
                    </w:rPr>
                    <w:t>Energy Efficient Commercial Conveyor Broilers &lt;22” wide conveyor</w:t>
                  </w:r>
                </w:p>
              </w:tc>
              <w:tc>
                <w:tcPr>
                  <w:tcW w:w="1383" w:type="pct"/>
                </w:tcPr>
                <w:p w14:paraId="7DC935A4" w14:textId="77777777" w:rsidR="0006116B" w:rsidRPr="00246AFC" w:rsidRDefault="0006116B" w:rsidP="0006116B">
                  <w:pPr>
                    <w:rPr>
                      <w:rFonts w:cs="Arial"/>
                      <w:szCs w:val="20"/>
                    </w:rPr>
                  </w:pPr>
                  <w:r w:rsidRPr="00246AFC">
                    <w:rPr>
                      <w:rFonts w:cs="Arial"/>
                      <w:szCs w:val="20"/>
                    </w:rPr>
                    <w:t>Energy Efficient Commercial Conveyor Broilers 22-28” wide conveyor</w:t>
                  </w:r>
                </w:p>
              </w:tc>
              <w:tc>
                <w:tcPr>
                  <w:tcW w:w="1383" w:type="pct"/>
                </w:tcPr>
                <w:p w14:paraId="2B1BD408" w14:textId="77777777" w:rsidR="0006116B" w:rsidRPr="00246AFC" w:rsidRDefault="0006116B" w:rsidP="0006116B">
                  <w:pPr>
                    <w:rPr>
                      <w:rFonts w:cs="Arial"/>
                      <w:szCs w:val="20"/>
                    </w:rPr>
                  </w:pPr>
                  <w:r w:rsidRPr="00246AFC">
                    <w:rPr>
                      <w:rFonts w:cs="Arial"/>
                      <w:szCs w:val="20"/>
                    </w:rPr>
                    <w:t>Energy Efficient Commercial Conveyor Broilers &gt;28” wide conveyor</w:t>
                  </w:r>
                </w:p>
              </w:tc>
            </w:tr>
            <w:tr w:rsidR="0006116B" w:rsidRPr="00500C4E" w14:paraId="63F1D0E1" w14:textId="77777777" w:rsidTr="001F1328">
              <w:trPr>
                <w:trHeight w:val="465"/>
              </w:trPr>
              <w:tc>
                <w:tcPr>
                  <w:tcW w:w="852" w:type="pct"/>
                </w:tcPr>
                <w:p w14:paraId="154102DF" w14:textId="77777777" w:rsidR="0006116B" w:rsidRPr="00500C4E" w:rsidRDefault="0006116B" w:rsidP="0006116B">
                  <w:pPr>
                    <w:rPr>
                      <w:szCs w:val="20"/>
                    </w:rPr>
                  </w:pPr>
                  <w:r w:rsidRPr="00500C4E">
                    <w:rPr>
                      <w:szCs w:val="20"/>
                    </w:rPr>
                    <w:t>Base Case Description</w:t>
                  </w:r>
                </w:p>
              </w:tc>
              <w:tc>
                <w:tcPr>
                  <w:tcW w:w="1383" w:type="pct"/>
                </w:tcPr>
                <w:p w14:paraId="7A17EB5E" w14:textId="77777777" w:rsidR="0006116B" w:rsidRPr="00246AFC" w:rsidRDefault="0006116B" w:rsidP="0006116B">
                  <w:pPr>
                    <w:rPr>
                      <w:rFonts w:cs="Arial"/>
                      <w:szCs w:val="20"/>
                    </w:rPr>
                  </w:pPr>
                  <w:r w:rsidRPr="00246AFC">
                    <w:rPr>
                      <w:rFonts w:cs="Arial"/>
                      <w:szCs w:val="20"/>
                    </w:rPr>
                    <w:t>Standard Commercial Conveyor Broiler of similar size or larger</w:t>
                  </w:r>
                </w:p>
              </w:tc>
              <w:tc>
                <w:tcPr>
                  <w:tcW w:w="1383" w:type="pct"/>
                </w:tcPr>
                <w:p w14:paraId="02AD647F" w14:textId="77777777" w:rsidR="0006116B" w:rsidRPr="00246AFC" w:rsidRDefault="0006116B" w:rsidP="0006116B">
                  <w:pPr>
                    <w:rPr>
                      <w:rFonts w:cs="Arial"/>
                      <w:szCs w:val="20"/>
                    </w:rPr>
                  </w:pPr>
                  <w:r w:rsidRPr="00246AFC">
                    <w:rPr>
                      <w:rFonts w:cs="Arial"/>
                      <w:szCs w:val="20"/>
                    </w:rPr>
                    <w:t>Standard Commercial Conveyor Broiler of similar size or larger</w:t>
                  </w:r>
                </w:p>
              </w:tc>
              <w:tc>
                <w:tcPr>
                  <w:tcW w:w="1383" w:type="pct"/>
                </w:tcPr>
                <w:p w14:paraId="50F50C9D" w14:textId="77777777" w:rsidR="0006116B" w:rsidRPr="00246AFC" w:rsidRDefault="0006116B" w:rsidP="0006116B">
                  <w:pPr>
                    <w:rPr>
                      <w:rFonts w:cs="Arial"/>
                      <w:szCs w:val="20"/>
                    </w:rPr>
                  </w:pPr>
                  <w:r w:rsidRPr="00246AFC">
                    <w:rPr>
                      <w:rFonts w:cs="Arial"/>
                      <w:szCs w:val="20"/>
                    </w:rPr>
                    <w:t>Standard Commercial Conveyor Broiler of similar size or larger</w:t>
                  </w:r>
                </w:p>
              </w:tc>
            </w:tr>
            <w:tr w:rsidR="0006116B" w:rsidRPr="00500C4E" w14:paraId="20A65EAF" w14:textId="77777777" w:rsidTr="001F1328">
              <w:trPr>
                <w:trHeight w:val="465"/>
              </w:trPr>
              <w:tc>
                <w:tcPr>
                  <w:tcW w:w="852" w:type="pct"/>
                </w:tcPr>
                <w:p w14:paraId="4EE74385" w14:textId="77777777" w:rsidR="0006116B" w:rsidRPr="00500C4E" w:rsidRDefault="0006116B" w:rsidP="0006116B">
                  <w:pPr>
                    <w:rPr>
                      <w:szCs w:val="20"/>
                    </w:rPr>
                  </w:pPr>
                  <w:r w:rsidRPr="00500C4E">
                    <w:rPr>
                      <w:szCs w:val="20"/>
                    </w:rPr>
                    <w:t>Units</w:t>
                  </w:r>
                </w:p>
              </w:tc>
              <w:tc>
                <w:tcPr>
                  <w:tcW w:w="1383" w:type="pct"/>
                </w:tcPr>
                <w:p w14:paraId="191621DB" w14:textId="77777777" w:rsidR="0006116B" w:rsidRPr="00246AFC" w:rsidRDefault="0006116B" w:rsidP="0006116B">
                  <w:pPr>
                    <w:rPr>
                      <w:rFonts w:cs="Arial"/>
                      <w:szCs w:val="20"/>
                    </w:rPr>
                  </w:pPr>
                  <w:r w:rsidRPr="00246AFC">
                    <w:rPr>
                      <w:rFonts w:cs="Arial"/>
                      <w:szCs w:val="20"/>
                    </w:rPr>
                    <w:t>Broilers</w:t>
                  </w:r>
                </w:p>
              </w:tc>
              <w:tc>
                <w:tcPr>
                  <w:tcW w:w="1383" w:type="pct"/>
                </w:tcPr>
                <w:p w14:paraId="011D8E8D" w14:textId="77777777" w:rsidR="0006116B" w:rsidRPr="00246AFC" w:rsidRDefault="0006116B" w:rsidP="0006116B">
                  <w:pPr>
                    <w:rPr>
                      <w:rFonts w:cs="Arial"/>
                      <w:szCs w:val="20"/>
                    </w:rPr>
                  </w:pPr>
                  <w:r w:rsidRPr="00246AFC">
                    <w:rPr>
                      <w:rFonts w:cs="Arial"/>
                      <w:szCs w:val="20"/>
                    </w:rPr>
                    <w:t>Broilers</w:t>
                  </w:r>
                </w:p>
              </w:tc>
              <w:tc>
                <w:tcPr>
                  <w:tcW w:w="1383" w:type="pct"/>
                </w:tcPr>
                <w:p w14:paraId="65F26F58" w14:textId="77777777" w:rsidR="0006116B" w:rsidRPr="00246AFC" w:rsidRDefault="0006116B" w:rsidP="0006116B">
                  <w:pPr>
                    <w:rPr>
                      <w:rFonts w:cs="Arial"/>
                      <w:szCs w:val="20"/>
                    </w:rPr>
                  </w:pPr>
                  <w:r w:rsidRPr="00246AFC">
                    <w:rPr>
                      <w:rFonts w:cs="Arial"/>
                      <w:szCs w:val="20"/>
                    </w:rPr>
                    <w:t>Broilers</w:t>
                  </w:r>
                </w:p>
              </w:tc>
            </w:tr>
            <w:tr w:rsidR="0006116B" w:rsidRPr="00500C4E" w14:paraId="676474BB" w14:textId="77777777" w:rsidTr="001F1328">
              <w:trPr>
                <w:trHeight w:val="465"/>
              </w:trPr>
              <w:tc>
                <w:tcPr>
                  <w:tcW w:w="852" w:type="pct"/>
                </w:tcPr>
                <w:p w14:paraId="298B2B1B" w14:textId="77777777" w:rsidR="0006116B" w:rsidRPr="00920905" w:rsidRDefault="0006116B" w:rsidP="0006116B">
                  <w:pPr>
                    <w:rPr>
                      <w:rStyle w:val="Strong1"/>
                    </w:rPr>
                  </w:pPr>
                  <w:r w:rsidRPr="00500C4E">
                    <w:rPr>
                      <w:szCs w:val="20"/>
                    </w:rPr>
                    <w:t>Energy Savings</w:t>
                  </w:r>
                </w:p>
              </w:tc>
              <w:tc>
                <w:tcPr>
                  <w:tcW w:w="1383" w:type="pct"/>
                </w:tcPr>
                <w:p w14:paraId="5B0161E1" w14:textId="77777777" w:rsidR="0006116B" w:rsidRDefault="0006116B" w:rsidP="0006116B">
                  <w:pPr>
                    <w:rPr>
                      <w:rFonts w:cs="Arial"/>
                      <w:szCs w:val="20"/>
                    </w:rPr>
                  </w:pPr>
                  <w:r w:rsidRPr="00246AFC">
                    <w:rPr>
                      <w:rFonts w:cs="Arial"/>
                      <w:szCs w:val="20"/>
                    </w:rPr>
                    <w:t>1,145 therms/yr</w:t>
                  </w:r>
                </w:p>
                <w:p w14:paraId="5F14E1FB" w14:textId="77777777" w:rsidR="0006116B" w:rsidRPr="00246AFC" w:rsidRDefault="0006116B" w:rsidP="0006116B">
                  <w:pPr>
                    <w:rPr>
                      <w:rFonts w:cs="Arial"/>
                      <w:color w:val="FF0000"/>
                      <w:szCs w:val="20"/>
                    </w:rPr>
                  </w:pPr>
                  <w:r w:rsidRPr="00246AFC">
                    <w:rPr>
                      <w:rFonts w:ascii="Calibri" w:hAnsi="Calibri" w:cs="Calibri"/>
                      <w:bCs/>
                      <w:szCs w:val="20"/>
                    </w:rPr>
                    <w:t>7,144 kWh/yr</w:t>
                  </w:r>
                </w:p>
              </w:tc>
              <w:tc>
                <w:tcPr>
                  <w:tcW w:w="1383" w:type="pct"/>
                </w:tcPr>
                <w:p w14:paraId="3F2E53F1" w14:textId="77777777" w:rsidR="0006116B" w:rsidRDefault="0006116B" w:rsidP="0006116B">
                  <w:pPr>
                    <w:rPr>
                      <w:rFonts w:cs="Arial"/>
                      <w:szCs w:val="20"/>
                    </w:rPr>
                  </w:pPr>
                  <w:r w:rsidRPr="00246AFC">
                    <w:rPr>
                      <w:rFonts w:ascii="Calibri" w:hAnsi="Calibri" w:cs="Calibri"/>
                      <w:bCs/>
                      <w:szCs w:val="20"/>
                    </w:rPr>
                    <w:t xml:space="preserve">1,933 </w:t>
                  </w:r>
                  <w:r w:rsidRPr="00246AFC">
                    <w:rPr>
                      <w:rFonts w:cs="Arial"/>
                      <w:szCs w:val="20"/>
                    </w:rPr>
                    <w:t>therms/yr</w:t>
                  </w:r>
                </w:p>
                <w:p w14:paraId="6F5724C2" w14:textId="77777777" w:rsidR="0006116B" w:rsidRPr="00246AFC" w:rsidRDefault="0006116B" w:rsidP="0006116B">
                  <w:pPr>
                    <w:rPr>
                      <w:rFonts w:cs="Arial"/>
                      <w:color w:val="FF0000"/>
                      <w:szCs w:val="20"/>
                    </w:rPr>
                  </w:pPr>
                  <w:r w:rsidRPr="00246AFC">
                    <w:rPr>
                      <w:rFonts w:ascii="Calibri" w:hAnsi="Calibri" w:cs="Calibri"/>
                      <w:bCs/>
                      <w:szCs w:val="20"/>
                    </w:rPr>
                    <w:t>6,403 kWh/yr</w:t>
                  </w:r>
                </w:p>
              </w:tc>
              <w:tc>
                <w:tcPr>
                  <w:tcW w:w="1383" w:type="pct"/>
                </w:tcPr>
                <w:p w14:paraId="7D2A0901" w14:textId="77777777" w:rsidR="0006116B" w:rsidRDefault="0006116B" w:rsidP="0006116B">
                  <w:pPr>
                    <w:rPr>
                      <w:rFonts w:cs="Arial"/>
                      <w:szCs w:val="20"/>
                    </w:rPr>
                  </w:pPr>
                  <w:r w:rsidRPr="002D3C14">
                    <w:rPr>
                      <w:rFonts w:ascii="Calibri" w:hAnsi="Calibri" w:cs="Calibri"/>
                      <w:bCs/>
                      <w:szCs w:val="20"/>
                    </w:rPr>
                    <w:t xml:space="preserve">3,161 </w:t>
                  </w:r>
                  <w:r w:rsidRPr="002D3C14">
                    <w:rPr>
                      <w:rFonts w:cs="Arial"/>
                      <w:szCs w:val="20"/>
                    </w:rPr>
                    <w:t>therms/yr</w:t>
                  </w:r>
                </w:p>
                <w:p w14:paraId="50A8662C" w14:textId="77777777" w:rsidR="0006116B" w:rsidRPr="002D3C14" w:rsidRDefault="0006116B" w:rsidP="0006116B">
                  <w:pPr>
                    <w:rPr>
                      <w:rFonts w:cs="Arial"/>
                      <w:szCs w:val="20"/>
                    </w:rPr>
                  </w:pPr>
                  <w:r w:rsidRPr="002D3C14">
                    <w:rPr>
                      <w:rFonts w:ascii="Calibri" w:hAnsi="Calibri" w:cs="Calibri"/>
                      <w:bCs/>
                      <w:szCs w:val="20"/>
                    </w:rPr>
                    <w:t>23,849 kWh/yr</w:t>
                  </w:r>
                </w:p>
              </w:tc>
            </w:tr>
          </w:tbl>
          <w:bookmarkEnd w:id="3"/>
          <w:p w14:paraId="11A26336" w14:textId="6B620750" w:rsidR="00B84663" w:rsidRPr="00555671" w:rsidRDefault="008E699A" w:rsidP="00814F9B">
            <w:pPr>
              <w:rPr>
                <w:rFonts w:cs="Arial"/>
                <w:sz w:val="20"/>
                <w:szCs w:val="20"/>
              </w:rPr>
            </w:pPr>
            <w:r>
              <w:rPr>
                <w:rFonts w:cs="Arial"/>
                <w:sz w:val="20"/>
                <w:szCs w:val="20"/>
              </w:rPr>
              <w:t xml:space="preserve"> </w:t>
            </w:r>
          </w:p>
        </w:tc>
      </w:tr>
      <w:tr w:rsidR="00A61271" w14:paraId="11A2634B" w14:textId="77777777" w:rsidTr="001F1328">
        <w:trPr>
          <w:cantSplit/>
        </w:trPr>
        <w:tc>
          <w:tcPr>
            <w:tcW w:w="1638" w:type="dxa"/>
            <w:vAlign w:val="center"/>
          </w:tcPr>
          <w:p w14:paraId="11A26338" w14:textId="77777777" w:rsidR="00A61271" w:rsidRPr="001D77F7" w:rsidRDefault="00A61271" w:rsidP="002A7EFE">
            <w:pPr>
              <w:rPr>
                <w:b/>
              </w:rPr>
            </w:pPr>
            <w:r w:rsidRPr="001D77F7">
              <w:rPr>
                <w:b/>
              </w:rPr>
              <w:t>Section 3. Load Shapes</w:t>
            </w:r>
          </w:p>
        </w:tc>
        <w:tc>
          <w:tcPr>
            <w:tcW w:w="7938" w:type="dxa"/>
          </w:tcPr>
          <w:p w14:paraId="11A26339" w14:textId="5F42DD46" w:rsidR="004519B4" w:rsidRDefault="00136994" w:rsidP="0051536D">
            <w:pPr>
              <w:tabs>
                <w:tab w:val="right" w:pos="6732"/>
              </w:tabs>
              <w:rPr>
                <w:rFonts w:cs="Arial"/>
                <w:sz w:val="20"/>
                <w:szCs w:val="20"/>
              </w:rPr>
            </w:pPr>
            <w:r>
              <w:rPr>
                <w:rFonts w:cs="Arial"/>
                <w:sz w:val="20"/>
                <w:szCs w:val="20"/>
              </w:rPr>
              <w:t>Conveyor broilers have almost constant gas input rates I their load shapes.</w:t>
            </w:r>
          </w:p>
          <w:tbl>
            <w:tblPr>
              <w:tblStyle w:val="TableGrid1"/>
              <w:tblW w:w="5000" w:type="pct"/>
              <w:tblLayout w:type="fixed"/>
              <w:tblLook w:val="01E0" w:firstRow="1" w:lastRow="1" w:firstColumn="1" w:lastColumn="1" w:noHBand="0" w:noVBand="0"/>
            </w:tblPr>
            <w:tblGrid>
              <w:gridCol w:w="3634"/>
              <w:gridCol w:w="1712"/>
              <w:gridCol w:w="2366"/>
            </w:tblGrid>
            <w:tr w:rsidR="00136994" w:rsidRPr="00500C4E" w14:paraId="4B68C34A" w14:textId="77777777" w:rsidTr="001F1328">
              <w:tc>
                <w:tcPr>
                  <w:tcW w:w="2356" w:type="pct"/>
                  <w:shd w:val="clear" w:color="auto" w:fill="D9D9D9" w:themeFill="background1" w:themeFillShade="D9"/>
                </w:tcPr>
                <w:p w14:paraId="0D020A45" w14:textId="77777777" w:rsidR="00136994" w:rsidRPr="00920905" w:rsidRDefault="00136994" w:rsidP="00136994">
                  <w:pPr>
                    <w:rPr>
                      <w:rFonts w:cstheme="minorHAnsi"/>
                      <w:b/>
                      <w:szCs w:val="20"/>
                      <w:highlight w:val="yellow"/>
                    </w:rPr>
                  </w:pPr>
                  <w:r w:rsidRPr="00920905">
                    <w:rPr>
                      <w:rFonts w:cstheme="minorHAnsi"/>
                      <w:b/>
                      <w:szCs w:val="20"/>
                    </w:rPr>
                    <w:t>Building Type</w:t>
                  </w:r>
                </w:p>
              </w:tc>
              <w:tc>
                <w:tcPr>
                  <w:tcW w:w="1110" w:type="pct"/>
                  <w:shd w:val="clear" w:color="auto" w:fill="D9D9D9" w:themeFill="background1" w:themeFillShade="D9"/>
                </w:tcPr>
                <w:p w14:paraId="2250A580" w14:textId="77777777" w:rsidR="00136994" w:rsidRPr="00920905" w:rsidRDefault="00136994" w:rsidP="00136994">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0AE9EE54" w14:textId="77777777" w:rsidR="00136994" w:rsidRPr="00920905" w:rsidRDefault="00136994" w:rsidP="00136994">
                  <w:pPr>
                    <w:rPr>
                      <w:rFonts w:cstheme="minorHAnsi"/>
                      <w:b/>
                      <w:szCs w:val="20"/>
                      <w:highlight w:val="yellow"/>
                    </w:rPr>
                  </w:pPr>
                  <w:r w:rsidRPr="00920905">
                    <w:rPr>
                      <w:rFonts w:cstheme="minorHAnsi"/>
                      <w:b/>
                      <w:szCs w:val="20"/>
                    </w:rPr>
                    <w:t>E3 Alt</w:t>
                  </w:r>
                  <w:r>
                    <w:rPr>
                      <w:rFonts w:cstheme="minorHAnsi"/>
                      <w:b/>
                      <w:szCs w:val="20"/>
                    </w:rPr>
                    <w:t>ernate</w:t>
                  </w:r>
                  <w:r w:rsidRPr="00920905">
                    <w:rPr>
                      <w:rFonts w:cstheme="minorHAnsi"/>
                      <w:b/>
                      <w:szCs w:val="20"/>
                    </w:rPr>
                    <w:t xml:space="preserve"> Building Type</w:t>
                  </w:r>
                </w:p>
              </w:tc>
            </w:tr>
            <w:tr w:rsidR="00136994" w:rsidRPr="00070FBB" w14:paraId="088BBB0A" w14:textId="77777777" w:rsidTr="001F1328">
              <w:tc>
                <w:tcPr>
                  <w:tcW w:w="2356" w:type="pct"/>
                </w:tcPr>
                <w:p w14:paraId="0D18BF42" w14:textId="77777777" w:rsidR="00136994" w:rsidRDefault="00136994" w:rsidP="00136994">
                  <w:pPr>
                    <w:rPr>
                      <w:rFonts w:cstheme="minorHAnsi"/>
                      <w:szCs w:val="20"/>
                    </w:rPr>
                  </w:pPr>
                  <w:r>
                    <w:rPr>
                      <w:rFonts w:cstheme="minorHAnsi"/>
                      <w:szCs w:val="20"/>
                    </w:rPr>
                    <w:t xml:space="preserve"> P</w:t>
                  </w:r>
                  <w:r w:rsidRPr="002D61BC">
                    <w:rPr>
                      <w:rFonts w:cstheme="minorHAnsi"/>
                      <w:szCs w:val="20"/>
                    </w:rPr>
                    <w:t>GE: COMMERCIAL:5 = Commercial Food Service</w:t>
                  </w:r>
                </w:p>
                <w:p w14:paraId="096E047F" w14:textId="77777777" w:rsidR="00136994" w:rsidRPr="007D1885" w:rsidRDefault="00136994" w:rsidP="00136994">
                  <w:pPr>
                    <w:rPr>
                      <w:rFonts w:cstheme="minorHAnsi"/>
                      <w:szCs w:val="20"/>
                    </w:rPr>
                  </w:pPr>
                </w:p>
              </w:tc>
              <w:tc>
                <w:tcPr>
                  <w:tcW w:w="1110" w:type="pct"/>
                </w:tcPr>
                <w:p w14:paraId="5CAF347B" w14:textId="77777777" w:rsidR="00136994" w:rsidRPr="00171237" w:rsidRDefault="00136994" w:rsidP="00136994">
                  <w:pPr>
                    <w:rPr>
                      <w:rFonts w:cstheme="minorHAnsi"/>
                      <w:color w:val="FF0000"/>
                      <w:szCs w:val="20"/>
                    </w:rPr>
                  </w:pPr>
                  <w:r w:rsidRPr="00AA3F8D">
                    <w:rPr>
                      <w:rFonts w:cstheme="minorHAnsi"/>
                      <w:szCs w:val="20"/>
                    </w:rPr>
                    <w:t>COMMERCIAL</w:t>
                  </w:r>
                </w:p>
              </w:tc>
              <w:tc>
                <w:tcPr>
                  <w:tcW w:w="1535" w:type="pct"/>
                </w:tcPr>
                <w:p w14:paraId="487D434D" w14:textId="77777777" w:rsidR="00136994" w:rsidRPr="003E0F31" w:rsidRDefault="00136994" w:rsidP="00136994">
                  <w:pPr>
                    <w:rPr>
                      <w:rFonts w:cstheme="minorHAnsi"/>
                      <w:szCs w:val="20"/>
                      <w:lang w:val="fr-FR"/>
                    </w:rPr>
                  </w:pPr>
                  <w:r w:rsidRPr="003E0F31">
                    <w:rPr>
                      <w:rFonts w:cstheme="minorHAnsi"/>
                      <w:szCs w:val="20"/>
                      <w:lang w:val="fr-FR"/>
                    </w:rPr>
                    <w:t>5 = Commercial Food Service</w:t>
                  </w:r>
                </w:p>
              </w:tc>
            </w:tr>
          </w:tbl>
          <w:p w14:paraId="11A2634A" w14:textId="77777777" w:rsidR="0027410B" w:rsidRPr="00476F40" w:rsidRDefault="0027410B" w:rsidP="0051536D">
            <w:pPr>
              <w:tabs>
                <w:tab w:val="right" w:pos="6732"/>
              </w:tabs>
              <w:rPr>
                <w:rFonts w:cs="Arial"/>
                <w:sz w:val="20"/>
                <w:szCs w:val="20"/>
              </w:rPr>
            </w:pPr>
          </w:p>
        </w:tc>
      </w:tr>
      <w:tr w:rsidR="00A61271" w14:paraId="11A2634F" w14:textId="77777777" w:rsidTr="001F1328">
        <w:trPr>
          <w:cantSplit/>
        </w:trPr>
        <w:tc>
          <w:tcPr>
            <w:tcW w:w="1638" w:type="dxa"/>
            <w:vAlign w:val="center"/>
          </w:tcPr>
          <w:p w14:paraId="11A2634C" w14:textId="77777777" w:rsidR="00A61271" w:rsidRPr="001D77F7" w:rsidRDefault="00A61271" w:rsidP="002A7EFE">
            <w:pPr>
              <w:rPr>
                <w:b/>
              </w:rPr>
            </w:pPr>
            <w:r w:rsidRPr="001D77F7">
              <w:rPr>
                <w:b/>
              </w:rPr>
              <w:t>Section 4. Costs</w:t>
            </w:r>
          </w:p>
        </w:tc>
        <w:tc>
          <w:tcPr>
            <w:tcW w:w="7938" w:type="dxa"/>
          </w:tcPr>
          <w:p w14:paraId="11A2634E" w14:textId="5511450A" w:rsidR="00A61271" w:rsidRPr="00D22F63" w:rsidRDefault="007B0A6F" w:rsidP="00C048F4">
            <w:pPr>
              <w:rPr>
                <w:sz w:val="20"/>
                <w:szCs w:val="20"/>
              </w:rPr>
            </w:pPr>
            <w:r w:rsidRPr="00A965B2">
              <w:rPr>
                <w:sz w:val="20"/>
                <w:szCs w:val="20"/>
              </w:rPr>
              <w:t xml:space="preserve">The Gross Measure Cost is obtained from costs documented by </w:t>
            </w:r>
            <w:r w:rsidR="00D22F63">
              <w:rPr>
                <w:sz w:val="20"/>
                <w:szCs w:val="20"/>
              </w:rPr>
              <w:t>SCG work paper “WPSCGNRCC171226A_Rev00.docx” section 4- COSTS</w:t>
            </w:r>
            <w:r w:rsidR="00E46364" w:rsidRPr="00A965B2">
              <w:rPr>
                <w:sz w:val="20"/>
                <w:szCs w:val="20"/>
              </w:rPr>
              <w:t xml:space="preserve">  </w:t>
            </w:r>
          </w:p>
        </w:tc>
      </w:tr>
      <w:tr w:rsidR="00A61271" w:rsidRPr="00393EC8" w14:paraId="11A26352" w14:textId="77777777" w:rsidTr="001F1328">
        <w:trPr>
          <w:cantSplit/>
        </w:trPr>
        <w:tc>
          <w:tcPr>
            <w:tcW w:w="1638" w:type="dxa"/>
          </w:tcPr>
          <w:p w14:paraId="11A26350" w14:textId="77777777" w:rsidR="00A61271" w:rsidRPr="00393EC8" w:rsidRDefault="00A61271">
            <w:pPr>
              <w:rPr>
                <w:b/>
              </w:rPr>
            </w:pPr>
            <w:r w:rsidRPr="00393EC8">
              <w:rPr>
                <w:b/>
              </w:rPr>
              <w:t xml:space="preserve">Section 4.1 </w:t>
            </w:r>
            <w:r w:rsidR="00695478">
              <w:rPr>
                <w:b/>
              </w:rPr>
              <w:t>Base and Measure Costs</w:t>
            </w:r>
          </w:p>
        </w:tc>
        <w:tc>
          <w:tcPr>
            <w:tcW w:w="7938" w:type="dxa"/>
          </w:tcPr>
          <w:p w14:paraId="11A26351" w14:textId="77777777" w:rsidR="00A61271" w:rsidRPr="00393EC8" w:rsidRDefault="00A61271" w:rsidP="002A7EFE">
            <w:pPr>
              <w:rPr>
                <w:b/>
              </w:rPr>
            </w:pPr>
          </w:p>
        </w:tc>
      </w:tr>
      <w:tr w:rsidR="00E05871" w14:paraId="11A26355" w14:textId="77777777" w:rsidTr="001F1328">
        <w:trPr>
          <w:cantSplit/>
        </w:trPr>
        <w:tc>
          <w:tcPr>
            <w:tcW w:w="1638" w:type="dxa"/>
          </w:tcPr>
          <w:p w14:paraId="11A26353" w14:textId="77777777" w:rsidR="00E05871" w:rsidRPr="00822B6F" w:rsidRDefault="00E05871" w:rsidP="008B3167">
            <w:pPr>
              <w:jc w:val="center"/>
              <w:rPr>
                <w:sz w:val="20"/>
                <w:szCs w:val="20"/>
              </w:rPr>
            </w:pPr>
            <w:r w:rsidRPr="00822B6F">
              <w:rPr>
                <w:sz w:val="20"/>
                <w:szCs w:val="20"/>
              </w:rPr>
              <w:t>Base Cost</w:t>
            </w:r>
          </w:p>
        </w:tc>
        <w:tc>
          <w:tcPr>
            <w:tcW w:w="7938" w:type="dxa"/>
          </w:tcPr>
          <w:p w14:paraId="40482157" w14:textId="7C01079B" w:rsidR="00D22F63" w:rsidRDefault="00D22F63" w:rsidP="00E05871">
            <w:pPr>
              <w:tabs>
                <w:tab w:val="right" w:pos="6732"/>
              </w:tabs>
              <w:rPr>
                <w:rFonts w:cs="Arial"/>
                <w:sz w:val="20"/>
                <w:szCs w:val="20"/>
              </w:rPr>
            </w:pPr>
          </w:p>
          <w:tbl>
            <w:tblPr>
              <w:tblW w:w="8200" w:type="dxa"/>
              <w:tblInd w:w="118" w:type="dxa"/>
              <w:tblLayout w:type="fixed"/>
              <w:tblLook w:val="04A0" w:firstRow="1" w:lastRow="0" w:firstColumn="1" w:lastColumn="0" w:noHBand="0" w:noVBand="1"/>
            </w:tblPr>
            <w:tblGrid>
              <w:gridCol w:w="922"/>
              <w:gridCol w:w="1440"/>
              <w:gridCol w:w="5838"/>
            </w:tblGrid>
            <w:tr w:rsidR="00D22F63" w:rsidRPr="00926A67" w14:paraId="049F061B" w14:textId="77777777" w:rsidTr="001F1328">
              <w:trPr>
                <w:trHeight w:val="564"/>
              </w:trPr>
              <w:tc>
                <w:tcPr>
                  <w:tcW w:w="922"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2A33D7AE" w14:textId="77777777" w:rsidR="00D22F63" w:rsidRPr="00926A67" w:rsidRDefault="00D22F63" w:rsidP="00D22F63">
                  <w:pPr>
                    <w:rPr>
                      <w:rFonts w:ascii="Calibri" w:hAnsi="Calibri" w:cs="Calibri"/>
                      <w:b/>
                      <w:bCs/>
                      <w:color w:val="000000"/>
                      <w:sz w:val="20"/>
                      <w:szCs w:val="20"/>
                    </w:rPr>
                  </w:pPr>
                  <w:r w:rsidRPr="00926A67">
                    <w:rPr>
                      <w:rFonts w:ascii="Calibri" w:hAnsi="Calibri" w:cs="Calibri"/>
                      <w:b/>
                      <w:bCs/>
                      <w:color w:val="000000"/>
                      <w:sz w:val="20"/>
                      <w:szCs w:val="20"/>
                    </w:rPr>
                    <w:t>Burger Width</w:t>
                  </w:r>
                </w:p>
              </w:tc>
              <w:tc>
                <w:tcPr>
                  <w:tcW w:w="1440" w:type="dxa"/>
                  <w:tcBorders>
                    <w:top w:val="single" w:sz="8" w:space="0" w:color="auto"/>
                    <w:left w:val="nil"/>
                    <w:bottom w:val="single" w:sz="8" w:space="0" w:color="auto"/>
                    <w:right w:val="single" w:sz="8" w:space="0" w:color="auto"/>
                  </w:tcBorders>
                  <w:shd w:val="clear" w:color="000000" w:fill="D9D9D9"/>
                  <w:vAlign w:val="center"/>
                  <w:hideMark/>
                </w:tcPr>
                <w:p w14:paraId="21E5F638" w14:textId="77777777" w:rsidR="00D22F63" w:rsidRPr="00926A67" w:rsidRDefault="00D22F63" w:rsidP="00D22F63">
                  <w:pPr>
                    <w:rPr>
                      <w:rFonts w:ascii="Calibri" w:hAnsi="Calibri" w:cs="Calibri"/>
                      <w:b/>
                      <w:bCs/>
                      <w:color w:val="000000"/>
                      <w:sz w:val="20"/>
                      <w:szCs w:val="20"/>
                    </w:rPr>
                  </w:pPr>
                  <w:r w:rsidRPr="00926A67">
                    <w:rPr>
                      <w:rFonts w:ascii="Calibri" w:hAnsi="Calibri" w:cs="Calibri"/>
                      <w:b/>
                      <w:bCs/>
                      <w:color w:val="000000"/>
                      <w:sz w:val="20"/>
                      <w:szCs w:val="20"/>
                    </w:rPr>
                    <w:t>Conveyor Width (in)</w:t>
                  </w:r>
                </w:p>
              </w:tc>
              <w:tc>
                <w:tcPr>
                  <w:tcW w:w="5838" w:type="dxa"/>
                  <w:tcBorders>
                    <w:top w:val="single" w:sz="8" w:space="0" w:color="auto"/>
                    <w:left w:val="nil"/>
                    <w:bottom w:val="single" w:sz="8" w:space="0" w:color="auto"/>
                    <w:right w:val="single" w:sz="8" w:space="0" w:color="auto"/>
                  </w:tcBorders>
                  <w:shd w:val="clear" w:color="000000" w:fill="D9D9D9"/>
                  <w:vAlign w:val="center"/>
                  <w:hideMark/>
                </w:tcPr>
                <w:p w14:paraId="0E238B2D" w14:textId="77777777" w:rsidR="00D22F63" w:rsidRPr="00926A67" w:rsidRDefault="00D22F63" w:rsidP="00D22F63">
                  <w:pPr>
                    <w:rPr>
                      <w:rFonts w:ascii="Calibri" w:hAnsi="Calibri" w:cs="Calibri"/>
                      <w:b/>
                      <w:bCs/>
                      <w:color w:val="000000"/>
                      <w:sz w:val="20"/>
                      <w:szCs w:val="20"/>
                    </w:rPr>
                  </w:pPr>
                  <w:r w:rsidRPr="00926A67">
                    <w:rPr>
                      <w:rFonts w:ascii="Calibri" w:hAnsi="Calibri" w:cs="Calibri"/>
                      <w:b/>
                      <w:bCs/>
                      <w:color w:val="000000"/>
                      <w:sz w:val="20"/>
                      <w:szCs w:val="20"/>
                    </w:rPr>
                    <w:t>Retail Price</w:t>
                  </w:r>
                </w:p>
              </w:tc>
            </w:tr>
            <w:tr w:rsidR="00D22F63" w:rsidRPr="00926A67" w14:paraId="7F4ABCC0" w14:textId="77777777" w:rsidTr="001F1328">
              <w:trPr>
                <w:trHeight w:val="300"/>
              </w:trPr>
              <w:tc>
                <w:tcPr>
                  <w:tcW w:w="922" w:type="dxa"/>
                  <w:tcBorders>
                    <w:top w:val="nil"/>
                    <w:left w:val="single" w:sz="8" w:space="0" w:color="auto"/>
                    <w:bottom w:val="single" w:sz="8" w:space="0" w:color="auto"/>
                    <w:right w:val="single" w:sz="8" w:space="0" w:color="auto"/>
                  </w:tcBorders>
                  <w:shd w:val="clear" w:color="auto" w:fill="auto"/>
                  <w:vAlign w:val="center"/>
                  <w:hideMark/>
                </w:tcPr>
                <w:p w14:paraId="63B9FB98" w14:textId="77777777" w:rsidR="00D22F63" w:rsidRPr="00926A67" w:rsidRDefault="00D22F63" w:rsidP="00D22F63">
                  <w:pPr>
                    <w:rPr>
                      <w:rFonts w:ascii="Calibri" w:hAnsi="Calibri" w:cs="Calibri"/>
                      <w:color w:val="000000"/>
                      <w:sz w:val="20"/>
                      <w:szCs w:val="20"/>
                    </w:rPr>
                  </w:pPr>
                  <w:r w:rsidRPr="00926A67">
                    <w:rPr>
                      <w:rFonts w:ascii="Calibri" w:hAnsi="Calibri" w:cs="Calibri"/>
                      <w:color w:val="000000"/>
                      <w:sz w:val="20"/>
                      <w:szCs w:val="20"/>
                    </w:rPr>
                    <w:t>2</w:t>
                  </w:r>
                </w:p>
              </w:tc>
              <w:tc>
                <w:tcPr>
                  <w:tcW w:w="1440" w:type="dxa"/>
                  <w:tcBorders>
                    <w:top w:val="nil"/>
                    <w:left w:val="nil"/>
                    <w:bottom w:val="single" w:sz="8" w:space="0" w:color="auto"/>
                    <w:right w:val="single" w:sz="8" w:space="0" w:color="auto"/>
                  </w:tcBorders>
                  <w:shd w:val="clear" w:color="auto" w:fill="auto"/>
                  <w:vAlign w:val="center"/>
                  <w:hideMark/>
                </w:tcPr>
                <w:p w14:paraId="70F5E27D" w14:textId="77777777" w:rsidR="00D22F63" w:rsidRPr="00926A67" w:rsidRDefault="00D22F63" w:rsidP="00D22F63">
                  <w:pPr>
                    <w:jc w:val="right"/>
                    <w:rPr>
                      <w:rFonts w:ascii="Calibri" w:hAnsi="Calibri" w:cs="Calibri"/>
                      <w:color w:val="000000"/>
                      <w:sz w:val="20"/>
                      <w:szCs w:val="20"/>
                    </w:rPr>
                  </w:pPr>
                  <w:r w:rsidRPr="00926A67">
                    <w:rPr>
                      <w:rFonts w:ascii="Calibri" w:hAnsi="Calibri" w:cs="Calibri"/>
                      <w:color w:val="000000"/>
                      <w:sz w:val="20"/>
                      <w:szCs w:val="20"/>
                    </w:rPr>
                    <w:t>18</w:t>
                  </w:r>
                </w:p>
              </w:tc>
              <w:tc>
                <w:tcPr>
                  <w:tcW w:w="5838" w:type="dxa"/>
                  <w:tcBorders>
                    <w:top w:val="nil"/>
                    <w:left w:val="nil"/>
                    <w:bottom w:val="single" w:sz="8" w:space="0" w:color="auto"/>
                    <w:right w:val="single" w:sz="8" w:space="0" w:color="auto"/>
                  </w:tcBorders>
                  <w:shd w:val="clear" w:color="auto" w:fill="auto"/>
                  <w:vAlign w:val="center"/>
                  <w:hideMark/>
                </w:tcPr>
                <w:p w14:paraId="23FEC14F" w14:textId="77777777" w:rsidR="00D22F63" w:rsidRPr="00926A67" w:rsidRDefault="00D22F63" w:rsidP="00D22F63">
                  <w:pPr>
                    <w:rPr>
                      <w:rFonts w:ascii="Calibri" w:hAnsi="Calibri" w:cs="Calibri"/>
                      <w:color w:val="000000"/>
                      <w:sz w:val="20"/>
                      <w:szCs w:val="20"/>
                    </w:rPr>
                  </w:pPr>
                  <w:r w:rsidRPr="00926A67">
                    <w:rPr>
                      <w:rFonts w:ascii="Calibri" w:hAnsi="Calibri" w:cs="Calibri"/>
                      <w:color w:val="000000"/>
                      <w:sz w:val="20"/>
                      <w:szCs w:val="20"/>
                    </w:rPr>
                    <w:t xml:space="preserve"> $                             8,881 </w:t>
                  </w:r>
                </w:p>
              </w:tc>
            </w:tr>
            <w:tr w:rsidR="00D22F63" w:rsidRPr="00926A67" w14:paraId="1B2BE35D" w14:textId="77777777" w:rsidTr="001F1328">
              <w:trPr>
                <w:trHeight w:val="300"/>
              </w:trPr>
              <w:tc>
                <w:tcPr>
                  <w:tcW w:w="922" w:type="dxa"/>
                  <w:tcBorders>
                    <w:top w:val="nil"/>
                    <w:left w:val="single" w:sz="8" w:space="0" w:color="auto"/>
                    <w:bottom w:val="single" w:sz="8" w:space="0" w:color="auto"/>
                    <w:right w:val="single" w:sz="8" w:space="0" w:color="auto"/>
                  </w:tcBorders>
                  <w:shd w:val="clear" w:color="auto" w:fill="auto"/>
                  <w:vAlign w:val="center"/>
                  <w:hideMark/>
                </w:tcPr>
                <w:p w14:paraId="713815C5" w14:textId="77777777" w:rsidR="00D22F63" w:rsidRPr="00926A67" w:rsidRDefault="00D22F63" w:rsidP="00D22F63">
                  <w:pPr>
                    <w:rPr>
                      <w:rFonts w:ascii="Calibri" w:hAnsi="Calibri" w:cs="Calibri"/>
                      <w:color w:val="000000"/>
                      <w:sz w:val="20"/>
                      <w:szCs w:val="20"/>
                    </w:rPr>
                  </w:pPr>
                  <w:r w:rsidRPr="00926A67">
                    <w:rPr>
                      <w:rFonts w:ascii="Calibri" w:hAnsi="Calibri" w:cs="Calibri"/>
                      <w:color w:val="000000"/>
                      <w:sz w:val="20"/>
                      <w:szCs w:val="20"/>
                    </w:rPr>
                    <w:t>3</w:t>
                  </w:r>
                </w:p>
              </w:tc>
              <w:tc>
                <w:tcPr>
                  <w:tcW w:w="1440" w:type="dxa"/>
                  <w:tcBorders>
                    <w:top w:val="nil"/>
                    <w:left w:val="nil"/>
                    <w:bottom w:val="single" w:sz="8" w:space="0" w:color="auto"/>
                    <w:right w:val="single" w:sz="8" w:space="0" w:color="auto"/>
                  </w:tcBorders>
                  <w:shd w:val="clear" w:color="auto" w:fill="auto"/>
                  <w:vAlign w:val="center"/>
                  <w:hideMark/>
                </w:tcPr>
                <w:p w14:paraId="0FA828DF" w14:textId="77777777" w:rsidR="00D22F63" w:rsidRPr="00926A67" w:rsidRDefault="00D22F63" w:rsidP="00D22F63">
                  <w:pPr>
                    <w:jc w:val="right"/>
                    <w:rPr>
                      <w:rFonts w:ascii="Calibri" w:hAnsi="Calibri" w:cs="Calibri"/>
                      <w:color w:val="000000"/>
                      <w:sz w:val="20"/>
                      <w:szCs w:val="20"/>
                    </w:rPr>
                  </w:pPr>
                  <w:r w:rsidRPr="00926A67">
                    <w:rPr>
                      <w:rFonts w:ascii="Calibri" w:hAnsi="Calibri" w:cs="Calibri"/>
                      <w:color w:val="000000"/>
                      <w:sz w:val="20"/>
                      <w:szCs w:val="20"/>
                    </w:rPr>
                    <w:t>26</w:t>
                  </w:r>
                </w:p>
              </w:tc>
              <w:tc>
                <w:tcPr>
                  <w:tcW w:w="5838" w:type="dxa"/>
                  <w:tcBorders>
                    <w:top w:val="nil"/>
                    <w:left w:val="nil"/>
                    <w:bottom w:val="single" w:sz="8" w:space="0" w:color="auto"/>
                    <w:right w:val="single" w:sz="8" w:space="0" w:color="auto"/>
                  </w:tcBorders>
                  <w:shd w:val="clear" w:color="auto" w:fill="auto"/>
                  <w:vAlign w:val="center"/>
                  <w:hideMark/>
                </w:tcPr>
                <w:p w14:paraId="4134A1B1" w14:textId="77777777" w:rsidR="00D22F63" w:rsidRPr="00926A67" w:rsidRDefault="00D22F63" w:rsidP="00D22F63">
                  <w:pPr>
                    <w:rPr>
                      <w:rFonts w:ascii="Calibri" w:hAnsi="Calibri" w:cs="Calibri"/>
                      <w:color w:val="000000"/>
                      <w:sz w:val="20"/>
                      <w:szCs w:val="20"/>
                    </w:rPr>
                  </w:pPr>
                  <w:r w:rsidRPr="00926A67">
                    <w:rPr>
                      <w:rFonts w:ascii="Calibri" w:hAnsi="Calibri" w:cs="Calibri"/>
                      <w:color w:val="000000"/>
                      <w:sz w:val="20"/>
                      <w:szCs w:val="20"/>
                    </w:rPr>
                    <w:t xml:space="preserve"> $                          10,752 </w:t>
                  </w:r>
                </w:p>
              </w:tc>
            </w:tr>
            <w:tr w:rsidR="00D22F63" w:rsidRPr="00926A67" w14:paraId="31C328B8" w14:textId="77777777" w:rsidTr="001F1328">
              <w:trPr>
                <w:trHeight w:val="300"/>
              </w:trPr>
              <w:tc>
                <w:tcPr>
                  <w:tcW w:w="922" w:type="dxa"/>
                  <w:tcBorders>
                    <w:top w:val="nil"/>
                    <w:left w:val="single" w:sz="8" w:space="0" w:color="auto"/>
                    <w:bottom w:val="single" w:sz="8" w:space="0" w:color="auto"/>
                    <w:right w:val="single" w:sz="8" w:space="0" w:color="auto"/>
                  </w:tcBorders>
                  <w:shd w:val="clear" w:color="auto" w:fill="auto"/>
                  <w:vAlign w:val="center"/>
                  <w:hideMark/>
                </w:tcPr>
                <w:p w14:paraId="7DBE1503" w14:textId="77777777" w:rsidR="00D22F63" w:rsidRPr="00926A67" w:rsidRDefault="00D22F63" w:rsidP="00D22F63">
                  <w:pPr>
                    <w:rPr>
                      <w:rFonts w:ascii="Calibri" w:hAnsi="Calibri" w:cs="Calibri"/>
                      <w:color w:val="000000"/>
                      <w:sz w:val="20"/>
                      <w:szCs w:val="20"/>
                    </w:rPr>
                  </w:pPr>
                  <w:r w:rsidRPr="00926A67">
                    <w:rPr>
                      <w:rFonts w:ascii="Calibri" w:hAnsi="Calibri" w:cs="Calibri"/>
                      <w:color w:val="000000"/>
                      <w:sz w:val="20"/>
                      <w:szCs w:val="20"/>
                    </w:rPr>
                    <w:t>4</w:t>
                  </w:r>
                </w:p>
              </w:tc>
              <w:tc>
                <w:tcPr>
                  <w:tcW w:w="1440" w:type="dxa"/>
                  <w:tcBorders>
                    <w:top w:val="nil"/>
                    <w:left w:val="nil"/>
                    <w:bottom w:val="single" w:sz="8" w:space="0" w:color="auto"/>
                    <w:right w:val="single" w:sz="8" w:space="0" w:color="auto"/>
                  </w:tcBorders>
                  <w:shd w:val="clear" w:color="auto" w:fill="auto"/>
                  <w:vAlign w:val="center"/>
                  <w:hideMark/>
                </w:tcPr>
                <w:p w14:paraId="00391712" w14:textId="77777777" w:rsidR="00D22F63" w:rsidRPr="00926A67" w:rsidRDefault="00D22F63" w:rsidP="00D22F63">
                  <w:pPr>
                    <w:jc w:val="right"/>
                    <w:rPr>
                      <w:rFonts w:ascii="Calibri" w:hAnsi="Calibri" w:cs="Calibri"/>
                      <w:color w:val="000000"/>
                      <w:sz w:val="20"/>
                      <w:szCs w:val="20"/>
                    </w:rPr>
                  </w:pPr>
                  <w:r w:rsidRPr="00926A67">
                    <w:rPr>
                      <w:rFonts w:ascii="Calibri" w:hAnsi="Calibri" w:cs="Calibri"/>
                      <w:color w:val="000000"/>
                      <w:sz w:val="20"/>
                      <w:szCs w:val="20"/>
                    </w:rPr>
                    <w:t>30</w:t>
                  </w:r>
                </w:p>
              </w:tc>
              <w:tc>
                <w:tcPr>
                  <w:tcW w:w="5838" w:type="dxa"/>
                  <w:tcBorders>
                    <w:top w:val="nil"/>
                    <w:left w:val="nil"/>
                    <w:bottom w:val="single" w:sz="8" w:space="0" w:color="auto"/>
                    <w:right w:val="single" w:sz="8" w:space="0" w:color="auto"/>
                  </w:tcBorders>
                  <w:shd w:val="clear" w:color="auto" w:fill="auto"/>
                  <w:vAlign w:val="center"/>
                  <w:hideMark/>
                </w:tcPr>
                <w:p w14:paraId="2936AE22" w14:textId="77777777" w:rsidR="00D22F63" w:rsidRPr="00926A67" w:rsidRDefault="00D22F63" w:rsidP="00D22F63">
                  <w:pPr>
                    <w:rPr>
                      <w:rFonts w:ascii="Calibri" w:hAnsi="Calibri" w:cs="Calibri"/>
                      <w:color w:val="000000"/>
                      <w:sz w:val="20"/>
                      <w:szCs w:val="20"/>
                    </w:rPr>
                  </w:pPr>
                  <w:r w:rsidRPr="00926A67">
                    <w:rPr>
                      <w:rFonts w:ascii="Calibri" w:hAnsi="Calibri" w:cs="Calibri"/>
                      <w:color w:val="000000"/>
                      <w:sz w:val="20"/>
                      <w:szCs w:val="20"/>
                    </w:rPr>
                    <w:t xml:space="preserve"> $                          12,552 </w:t>
                  </w:r>
                </w:p>
              </w:tc>
            </w:tr>
          </w:tbl>
          <w:p w14:paraId="11A26354" w14:textId="51479D19" w:rsidR="00E05871" w:rsidRDefault="00E05871" w:rsidP="00E05871">
            <w:pPr>
              <w:tabs>
                <w:tab w:val="right" w:pos="6732"/>
              </w:tabs>
              <w:rPr>
                <w:rFonts w:cs="Arial"/>
                <w:sz w:val="20"/>
                <w:szCs w:val="20"/>
              </w:rPr>
            </w:pPr>
          </w:p>
        </w:tc>
      </w:tr>
      <w:tr w:rsidR="00D22F63" w14:paraId="11A2635B" w14:textId="77777777" w:rsidTr="001F1328">
        <w:trPr>
          <w:cantSplit/>
        </w:trPr>
        <w:tc>
          <w:tcPr>
            <w:tcW w:w="1638" w:type="dxa"/>
          </w:tcPr>
          <w:p w14:paraId="11A26359" w14:textId="77777777" w:rsidR="00D22F63" w:rsidRPr="00822B6F" w:rsidRDefault="00D22F63" w:rsidP="00D22F63">
            <w:pPr>
              <w:jc w:val="center"/>
              <w:rPr>
                <w:sz w:val="20"/>
                <w:szCs w:val="20"/>
              </w:rPr>
            </w:pPr>
            <w:r w:rsidRPr="00822B6F">
              <w:rPr>
                <w:sz w:val="20"/>
                <w:szCs w:val="20"/>
              </w:rPr>
              <w:t>Measure Cost</w:t>
            </w:r>
          </w:p>
        </w:tc>
        <w:tc>
          <w:tcPr>
            <w:tcW w:w="7938" w:type="dxa"/>
            <w:vAlign w:val="center"/>
          </w:tcPr>
          <w:tbl>
            <w:tblPr>
              <w:tblW w:w="6442" w:type="dxa"/>
              <w:tblInd w:w="118" w:type="dxa"/>
              <w:tblLayout w:type="fixed"/>
              <w:tblLook w:val="04A0" w:firstRow="1" w:lastRow="0" w:firstColumn="1" w:lastColumn="0" w:noHBand="0" w:noVBand="1"/>
            </w:tblPr>
            <w:tblGrid>
              <w:gridCol w:w="2122"/>
              <w:gridCol w:w="2090"/>
              <w:gridCol w:w="2230"/>
            </w:tblGrid>
            <w:tr w:rsidR="00D22F63" w:rsidRPr="00926A67" w14:paraId="7DA7A66C" w14:textId="77777777" w:rsidTr="001F1328">
              <w:trPr>
                <w:trHeight w:val="378"/>
              </w:trPr>
              <w:tc>
                <w:tcPr>
                  <w:tcW w:w="2122"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0F1F8B0E" w14:textId="77777777" w:rsidR="00D22F63" w:rsidRPr="00926A67" w:rsidRDefault="00D22F63" w:rsidP="00D22F63">
                  <w:pPr>
                    <w:rPr>
                      <w:rFonts w:ascii="Calibri" w:hAnsi="Calibri" w:cs="Calibri"/>
                      <w:b/>
                      <w:bCs/>
                      <w:color w:val="000000"/>
                      <w:sz w:val="20"/>
                      <w:szCs w:val="20"/>
                    </w:rPr>
                  </w:pPr>
                  <w:r w:rsidRPr="00926A67">
                    <w:rPr>
                      <w:rFonts w:ascii="Calibri" w:hAnsi="Calibri" w:cs="Calibri"/>
                      <w:b/>
                      <w:bCs/>
                      <w:color w:val="000000"/>
                      <w:sz w:val="20"/>
                      <w:szCs w:val="20"/>
                    </w:rPr>
                    <w:t>Burger Width</w:t>
                  </w:r>
                </w:p>
              </w:tc>
              <w:tc>
                <w:tcPr>
                  <w:tcW w:w="2090" w:type="dxa"/>
                  <w:tcBorders>
                    <w:top w:val="single" w:sz="8" w:space="0" w:color="auto"/>
                    <w:left w:val="nil"/>
                    <w:bottom w:val="single" w:sz="8" w:space="0" w:color="auto"/>
                    <w:right w:val="single" w:sz="8" w:space="0" w:color="auto"/>
                  </w:tcBorders>
                  <w:shd w:val="clear" w:color="000000" w:fill="D9D9D9"/>
                  <w:vAlign w:val="center"/>
                  <w:hideMark/>
                </w:tcPr>
                <w:p w14:paraId="482656E0" w14:textId="77777777" w:rsidR="00D22F63" w:rsidRPr="00926A67" w:rsidRDefault="00D22F63" w:rsidP="00D22F63">
                  <w:pPr>
                    <w:rPr>
                      <w:rFonts w:ascii="Calibri" w:hAnsi="Calibri" w:cs="Calibri"/>
                      <w:b/>
                      <w:bCs/>
                      <w:color w:val="000000"/>
                      <w:sz w:val="20"/>
                      <w:szCs w:val="20"/>
                    </w:rPr>
                  </w:pPr>
                  <w:r w:rsidRPr="00926A67">
                    <w:rPr>
                      <w:rFonts w:ascii="Calibri" w:hAnsi="Calibri" w:cs="Calibri"/>
                      <w:b/>
                      <w:bCs/>
                      <w:color w:val="000000"/>
                      <w:sz w:val="20"/>
                      <w:szCs w:val="20"/>
                    </w:rPr>
                    <w:t>Conveyor Width (in)</w:t>
                  </w:r>
                </w:p>
              </w:tc>
              <w:tc>
                <w:tcPr>
                  <w:tcW w:w="2230" w:type="dxa"/>
                  <w:tcBorders>
                    <w:top w:val="single" w:sz="8" w:space="0" w:color="auto"/>
                    <w:left w:val="nil"/>
                    <w:bottom w:val="single" w:sz="8" w:space="0" w:color="auto"/>
                    <w:right w:val="single" w:sz="8" w:space="0" w:color="auto"/>
                  </w:tcBorders>
                  <w:shd w:val="clear" w:color="000000" w:fill="D9D9D9"/>
                  <w:vAlign w:val="center"/>
                  <w:hideMark/>
                </w:tcPr>
                <w:p w14:paraId="01DFB176" w14:textId="77777777" w:rsidR="00D22F63" w:rsidRPr="00926A67" w:rsidRDefault="00D22F63" w:rsidP="00D22F63">
                  <w:pPr>
                    <w:rPr>
                      <w:rFonts w:ascii="Calibri" w:hAnsi="Calibri" w:cs="Calibri"/>
                      <w:b/>
                      <w:bCs/>
                      <w:color w:val="000000"/>
                      <w:sz w:val="20"/>
                      <w:szCs w:val="20"/>
                    </w:rPr>
                  </w:pPr>
                  <w:r w:rsidRPr="00926A67">
                    <w:rPr>
                      <w:rFonts w:ascii="Calibri" w:hAnsi="Calibri" w:cs="Calibri"/>
                      <w:b/>
                      <w:bCs/>
                      <w:color w:val="000000"/>
                      <w:sz w:val="20"/>
                      <w:szCs w:val="20"/>
                    </w:rPr>
                    <w:t>Retail Price</w:t>
                  </w:r>
                </w:p>
              </w:tc>
            </w:tr>
            <w:tr w:rsidR="00D22F63" w:rsidRPr="00926A67" w14:paraId="2E73BD11" w14:textId="77777777" w:rsidTr="001F1328">
              <w:trPr>
                <w:trHeight w:val="200"/>
              </w:trPr>
              <w:tc>
                <w:tcPr>
                  <w:tcW w:w="2122" w:type="dxa"/>
                  <w:tcBorders>
                    <w:top w:val="nil"/>
                    <w:left w:val="single" w:sz="8" w:space="0" w:color="auto"/>
                    <w:bottom w:val="single" w:sz="8" w:space="0" w:color="auto"/>
                    <w:right w:val="single" w:sz="8" w:space="0" w:color="auto"/>
                  </w:tcBorders>
                  <w:shd w:val="clear" w:color="auto" w:fill="auto"/>
                  <w:vAlign w:val="center"/>
                  <w:hideMark/>
                </w:tcPr>
                <w:p w14:paraId="23A88409" w14:textId="77777777" w:rsidR="00D22F63" w:rsidRPr="00926A67" w:rsidRDefault="00D22F63" w:rsidP="00D22F63">
                  <w:pPr>
                    <w:rPr>
                      <w:rFonts w:ascii="Calibri" w:hAnsi="Calibri" w:cs="Calibri"/>
                      <w:color w:val="000000"/>
                      <w:sz w:val="20"/>
                      <w:szCs w:val="20"/>
                    </w:rPr>
                  </w:pPr>
                  <w:r w:rsidRPr="00926A67">
                    <w:rPr>
                      <w:rFonts w:ascii="Calibri" w:hAnsi="Calibri" w:cs="Calibri"/>
                      <w:color w:val="000000"/>
                      <w:sz w:val="20"/>
                      <w:szCs w:val="20"/>
                    </w:rPr>
                    <w:t>2</w:t>
                  </w:r>
                </w:p>
              </w:tc>
              <w:tc>
                <w:tcPr>
                  <w:tcW w:w="2090" w:type="dxa"/>
                  <w:tcBorders>
                    <w:top w:val="nil"/>
                    <w:left w:val="nil"/>
                    <w:bottom w:val="single" w:sz="8" w:space="0" w:color="auto"/>
                    <w:right w:val="single" w:sz="8" w:space="0" w:color="auto"/>
                  </w:tcBorders>
                  <w:shd w:val="clear" w:color="auto" w:fill="auto"/>
                  <w:vAlign w:val="center"/>
                  <w:hideMark/>
                </w:tcPr>
                <w:p w14:paraId="12DE0EFC" w14:textId="77777777" w:rsidR="00D22F63" w:rsidRPr="00926A67" w:rsidRDefault="00D22F63" w:rsidP="00D22F63">
                  <w:pPr>
                    <w:rPr>
                      <w:rFonts w:ascii="Calibri" w:hAnsi="Calibri" w:cs="Calibri"/>
                      <w:color w:val="000000"/>
                      <w:sz w:val="20"/>
                      <w:szCs w:val="20"/>
                    </w:rPr>
                  </w:pPr>
                  <w:r w:rsidRPr="00926A67">
                    <w:rPr>
                      <w:rFonts w:ascii="Calibri" w:hAnsi="Calibri" w:cs="Calibri"/>
                      <w:color w:val="000000"/>
                      <w:sz w:val="20"/>
                      <w:szCs w:val="20"/>
                    </w:rPr>
                    <w:t>18</w:t>
                  </w:r>
                </w:p>
              </w:tc>
              <w:tc>
                <w:tcPr>
                  <w:tcW w:w="2230" w:type="dxa"/>
                  <w:tcBorders>
                    <w:top w:val="nil"/>
                    <w:left w:val="nil"/>
                    <w:bottom w:val="single" w:sz="8" w:space="0" w:color="auto"/>
                    <w:right w:val="single" w:sz="8" w:space="0" w:color="auto"/>
                  </w:tcBorders>
                  <w:shd w:val="clear" w:color="auto" w:fill="auto"/>
                  <w:vAlign w:val="center"/>
                  <w:hideMark/>
                </w:tcPr>
                <w:p w14:paraId="6BF1987C" w14:textId="77777777" w:rsidR="00D22F63" w:rsidRPr="00926A67" w:rsidRDefault="00D22F63" w:rsidP="00D22F63">
                  <w:pPr>
                    <w:rPr>
                      <w:rFonts w:ascii="Calibri" w:hAnsi="Calibri" w:cs="Calibri"/>
                      <w:color w:val="000000"/>
                      <w:sz w:val="20"/>
                      <w:szCs w:val="20"/>
                    </w:rPr>
                  </w:pPr>
                  <w:r>
                    <w:rPr>
                      <w:rFonts w:ascii="Calibri" w:hAnsi="Calibri" w:cs="Calibri"/>
                      <w:color w:val="000000"/>
                      <w:sz w:val="20"/>
                      <w:szCs w:val="20"/>
                    </w:rPr>
                    <w:t>$</w:t>
                  </w:r>
                  <w:r w:rsidRPr="00926A67">
                    <w:rPr>
                      <w:rFonts w:ascii="Calibri" w:hAnsi="Calibri" w:cs="Calibri"/>
                      <w:color w:val="000000"/>
                      <w:sz w:val="20"/>
                      <w:szCs w:val="20"/>
                    </w:rPr>
                    <w:t xml:space="preserve">11,404 </w:t>
                  </w:r>
                </w:p>
              </w:tc>
            </w:tr>
            <w:tr w:rsidR="00D22F63" w:rsidRPr="00926A67" w14:paraId="580A3872" w14:textId="77777777" w:rsidTr="001F1328">
              <w:trPr>
                <w:trHeight w:val="200"/>
              </w:trPr>
              <w:tc>
                <w:tcPr>
                  <w:tcW w:w="2122" w:type="dxa"/>
                  <w:tcBorders>
                    <w:top w:val="nil"/>
                    <w:left w:val="single" w:sz="8" w:space="0" w:color="auto"/>
                    <w:bottom w:val="single" w:sz="8" w:space="0" w:color="auto"/>
                    <w:right w:val="single" w:sz="8" w:space="0" w:color="auto"/>
                  </w:tcBorders>
                  <w:shd w:val="clear" w:color="auto" w:fill="auto"/>
                  <w:vAlign w:val="center"/>
                  <w:hideMark/>
                </w:tcPr>
                <w:p w14:paraId="2928FDEF" w14:textId="77777777" w:rsidR="00D22F63" w:rsidRPr="00926A67" w:rsidRDefault="00D22F63" w:rsidP="00D22F63">
                  <w:pPr>
                    <w:rPr>
                      <w:rFonts w:ascii="Calibri" w:hAnsi="Calibri" w:cs="Calibri"/>
                      <w:color w:val="000000"/>
                      <w:sz w:val="20"/>
                      <w:szCs w:val="20"/>
                    </w:rPr>
                  </w:pPr>
                  <w:r w:rsidRPr="00926A67">
                    <w:rPr>
                      <w:rFonts w:ascii="Calibri" w:hAnsi="Calibri" w:cs="Calibri"/>
                      <w:color w:val="000000"/>
                      <w:sz w:val="20"/>
                      <w:szCs w:val="20"/>
                    </w:rPr>
                    <w:t>3</w:t>
                  </w:r>
                </w:p>
              </w:tc>
              <w:tc>
                <w:tcPr>
                  <w:tcW w:w="2090" w:type="dxa"/>
                  <w:tcBorders>
                    <w:top w:val="nil"/>
                    <w:left w:val="nil"/>
                    <w:bottom w:val="single" w:sz="8" w:space="0" w:color="auto"/>
                    <w:right w:val="single" w:sz="8" w:space="0" w:color="auto"/>
                  </w:tcBorders>
                  <w:shd w:val="clear" w:color="auto" w:fill="auto"/>
                  <w:vAlign w:val="center"/>
                  <w:hideMark/>
                </w:tcPr>
                <w:p w14:paraId="24A27B9D" w14:textId="77777777" w:rsidR="00D22F63" w:rsidRPr="00926A67" w:rsidRDefault="00D22F63" w:rsidP="00D22F63">
                  <w:pPr>
                    <w:rPr>
                      <w:rFonts w:ascii="Calibri" w:hAnsi="Calibri" w:cs="Calibri"/>
                      <w:color w:val="000000"/>
                      <w:sz w:val="20"/>
                      <w:szCs w:val="20"/>
                    </w:rPr>
                  </w:pPr>
                  <w:r w:rsidRPr="00926A67">
                    <w:rPr>
                      <w:rFonts w:ascii="Calibri" w:hAnsi="Calibri" w:cs="Calibri"/>
                      <w:color w:val="000000"/>
                      <w:sz w:val="20"/>
                      <w:szCs w:val="20"/>
                    </w:rPr>
                    <w:t>26</w:t>
                  </w:r>
                </w:p>
              </w:tc>
              <w:tc>
                <w:tcPr>
                  <w:tcW w:w="2230" w:type="dxa"/>
                  <w:tcBorders>
                    <w:top w:val="nil"/>
                    <w:left w:val="nil"/>
                    <w:bottom w:val="single" w:sz="8" w:space="0" w:color="auto"/>
                    <w:right w:val="single" w:sz="8" w:space="0" w:color="auto"/>
                  </w:tcBorders>
                  <w:shd w:val="clear" w:color="auto" w:fill="auto"/>
                  <w:vAlign w:val="center"/>
                  <w:hideMark/>
                </w:tcPr>
                <w:p w14:paraId="086CFBF2" w14:textId="77777777" w:rsidR="00D22F63" w:rsidRPr="00926A67" w:rsidRDefault="00D22F63" w:rsidP="00D22F63">
                  <w:pPr>
                    <w:rPr>
                      <w:rFonts w:ascii="Calibri" w:hAnsi="Calibri" w:cs="Calibri"/>
                      <w:color w:val="000000"/>
                      <w:sz w:val="20"/>
                      <w:szCs w:val="20"/>
                    </w:rPr>
                  </w:pPr>
                  <w:r>
                    <w:rPr>
                      <w:rFonts w:ascii="Calibri" w:hAnsi="Calibri" w:cs="Calibri"/>
                      <w:color w:val="000000"/>
                      <w:sz w:val="20"/>
                      <w:szCs w:val="20"/>
                    </w:rPr>
                    <w:t>$</w:t>
                  </w:r>
                  <w:r w:rsidRPr="00926A67">
                    <w:rPr>
                      <w:rFonts w:ascii="Calibri" w:hAnsi="Calibri" w:cs="Calibri"/>
                      <w:color w:val="000000"/>
                      <w:sz w:val="20"/>
                      <w:szCs w:val="20"/>
                    </w:rPr>
                    <w:t xml:space="preserve">13,898 </w:t>
                  </w:r>
                </w:p>
              </w:tc>
            </w:tr>
            <w:tr w:rsidR="00D22F63" w:rsidRPr="00926A67" w14:paraId="31FAA245" w14:textId="77777777" w:rsidTr="001F1328">
              <w:trPr>
                <w:trHeight w:val="200"/>
              </w:trPr>
              <w:tc>
                <w:tcPr>
                  <w:tcW w:w="2122" w:type="dxa"/>
                  <w:tcBorders>
                    <w:top w:val="nil"/>
                    <w:left w:val="single" w:sz="8" w:space="0" w:color="auto"/>
                    <w:bottom w:val="single" w:sz="8" w:space="0" w:color="auto"/>
                    <w:right w:val="single" w:sz="8" w:space="0" w:color="auto"/>
                  </w:tcBorders>
                  <w:shd w:val="clear" w:color="auto" w:fill="auto"/>
                  <w:vAlign w:val="center"/>
                  <w:hideMark/>
                </w:tcPr>
                <w:p w14:paraId="1B245CD6" w14:textId="77777777" w:rsidR="00D22F63" w:rsidRPr="00926A67" w:rsidRDefault="00D22F63" w:rsidP="00D22F63">
                  <w:pPr>
                    <w:rPr>
                      <w:rFonts w:ascii="Calibri" w:hAnsi="Calibri" w:cs="Calibri"/>
                      <w:color w:val="000000"/>
                      <w:sz w:val="20"/>
                      <w:szCs w:val="20"/>
                    </w:rPr>
                  </w:pPr>
                  <w:r w:rsidRPr="00926A67">
                    <w:rPr>
                      <w:rFonts w:ascii="Calibri" w:hAnsi="Calibri" w:cs="Calibri"/>
                      <w:color w:val="000000"/>
                      <w:sz w:val="20"/>
                      <w:szCs w:val="20"/>
                    </w:rPr>
                    <w:t>4</w:t>
                  </w:r>
                </w:p>
              </w:tc>
              <w:tc>
                <w:tcPr>
                  <w:tcW w:w="2090" w:type="dxa"/>
                  <w:tcBorders>
                    <w:top w:val="nil"/>
                    <w:left w:val="nil"/>
                    <w:bottom w:val="single" w:sz="8" w:space="0" w:color="auto"/>
                    <w:right w:val="single" w:sz="8" w:space="0" w:color="auto"/>
                  </w:tcBorders>
                  <w:shd w:val="clear" w:color="auto" w:fill="auto"/>
                  <w:vAlign w:val="center"/>
                  <w:hideMark/>
                </w:tcPr>
                <w:p w14:paraId="5D0A350A" w14:textId="77777777" w:rsidR="00D22F63" w:rsidRPr="00926A67" w:rsidRDefault="00D22F63" w:rsidP="00D22F63">
                  <w:pPr>
                    <w:rPr>
                      <w:rFonts w:ascii="Calibri" w:hAnsi="Calibri" w:cs="Calibri"/>
                      <w:color w:val="000000"/>
                      <w:sz w:val="20"/>
                      <w:szCs w:val="20"/>
                    </w:rPr>
                  </w:pPr>
                  <w:r w:rsidRPr="00926A67">
                    <w:rPr>
                      <w:rFonts w:ascii="Calibri" w:hAnsi="Calibri" w:cs="Calibri"/>
                      <w:color w:val="000000"/>
                      <w:sz w:val="20"/>
                      <w:szCs w:val="20"/>
                    </w:rPr>
                    <w:t>30</w:t>
                  </w:r>
                </w:p>
              </w:tc>
              <w:tc>
                <w:tcPr>
                  <w:tcW w:w="2230" w:type="dxa"/>
                  <w:tcBorders>
                    <w:top w:val="nil"/>
                    <w:left w:val="nil"/>
                    <w:bottom w:val="single" w:sz="8" w:space="0" w:color="auto"/>
                    <w:right w:val="single" w:sz="8" w:space="0" w:color="auto"/>
                  </w:tcBorders>
                  <w:shd w:val="clear" w:color="auto" w:fill="auto"/>
                  <w:vAlign w:val="center"/>
                  <w:hideMark/>
                </w:tcPr>
                <w:p w14:paraId="6BA19C6B" w14:textId="77777777" w:rsidR="00D22F63" w:rsidRPr="00926A67" w:rsidRDefault="00D22F63" w:rsidP="00D22F63">
                  <w:pPr>
                    <w:rPr>
                      <w:rFonts w:ascii="Calibri" w:hAnsi="Calibri" w:cs="Calibri"/>
                      <w:color w:val="000000"/>
                      <w:sz w:val="20"/>
                      <w:szCs w:val="20"/>
                    </w:rPr>
                  </w:pPr>
                  <w:r>
                    <w:rPr>
                      <w:rFonts w:ascii="Calibri" w:hAnsi="Calibri" w:cs="Calibri"/>
                      <w:color w:val="000000"/>
                      <w:sz w:val="20"/>
                      <w:szCs w:val="20"/>
                    </w:rPr>
                    <w:t>$</w:t>
                  </w:r>
                  <w:r w:rsidRPr="00926A67">
                    <w:rPr>
                      <w:rFonts w:ascii="Calibri" w:hAnsi="Calibri" w:cs="Calibri"/>
                      <w:color w:val="000000"/>
                      <w:sz w:val="20"/>
                      <w:szCs w:val="20"/>
                    </w:rPr>
                    <w:t xml:space="preserve">16,210 </w:t>
                  </w:r>
                </w:p>
              </w:tc>
            </w:tr>
          </w:tbl>
          <w:p w14:paraId="11A2635A" w14:textId="7056E459" w:rsidR="00D22F63" w:rsidRPr="00476F40" w:rsidRDefault="00D22F63" w:rsidP="00D22F63">
            <w:pPr>
              <w:tabs>
                <w:tab w:val="right" w:pos="6732"/>
              </w:tabs>
              <w:rPr>
                <w:rFonts w:cs="Arial"/>
                <w:sz w:val="20"/>
                <w:szCs w:val="20"/>
              </w:rPr>
            </w:pPr>
          </w:p>
        </w:tc>
      </w:tr>
      <w:tr w:rsidR="00D22F63" w14:paraId="11A26368" w14:textId="77777777" w:rsidTr="001F1328">
        <w:trPr>
          <w:cantSplit/>
          <w:trHeight w:val="7442"/>
        </w:trPr>
        <w:tc>
          <w:tcPr>
            <w:tcW w:w="1638" w:type="dxa"/>
          </w:tcPr>
          <w:p w14:paraId="11A26365" w14:textId="77777777" w:rsidR="00D22F63" w:rsidRDefault="00D22F63" w:rsidP="00D22F63">
            <w:pPr>
              <w:jc w:val="right"/>
              <w:rPr>
                <w:rFonts w:cstheme="minorHAnsi"/>
                <w:sz w:val="20"/>
                <w:szCs w:val="20"/>
              </w:rPr>
            </w:pPr>
            <w:r>
              <w:rPr>
                <w:rFonts w:cstheme="minorHAnsi"/>
                <w:sz w:val="20"/>
                <w:szCs w:val="20"/>
              </w:rPr>
              <w:lastRenderedPageBreak/>
              <w:t xml:space="preserve">Incremental </w:t>
            </w:r>
          </w:p>
          <w:p w14:paraId="11A26366" w14:textId="77777777" w:rsidR="00D22F63" w:rsidRDefault="00D22F63" w:rsidP="00D22F63">
            <w:pPr>
              <w:jc w:val="right"/>
              <w:rPr>
                <w:rFonts w:cstheme="minorHAnsi"/>
                <w:sz w:val="20"/>
                <w:szCs w:val="20"/>
              </w:rPr>
            </w:pPr>
            <w:r>
              <w:rPr>
                <w:rFonts w:cstheme="minorHAnsi"/>
                <w:sz w:val="20"/>
                <w:szCs w:val="20"/>
              </w:rPr>
              <w:t>Measure Cost</w:t>
            </w:r>
          </w:p>
        </w:tc>
        <w:tc>
          <w:tcPr>
            <w:tcW w:w="7938" w:type="dxa"/>
          </w:tcPr>
          <w:p w14:paraId="2A278CAC" w14:textId="0BAB1DA5" w:rsidR="00D22F63" w:rsidRDefault="00D22F63" w:rsidP="00D22F63">
            <w:pPr>
              <w:tabs>
                <w:tab w:val="right" w:pos="6732"/>
              </w:tabs>
              <w:rPr>
                <w:rFonts w:cs="Arial"/>
                <w:sz w:val="20"/>
                <w:szCs w:val="20"/>
              </w:rPr>
            </w:pPr>
          </w:p>
          <w:tbl>
            <w:tblPr>
              <w:tblW w:w="6617" w:type="dxa"/>
              <w:tblInd w:w="113" w:type="dxa"/>
              <w:tblLayout w:type="fixed"/>
              <w:tblLook w:val="04A0" w:firstRow="1" w:lastRow="0" w:firstColumn="1" w:lastColumn="0" w:noHBand="0" w:noVBand="1"/>
            </w:tblPr>
            <w:tblGrid>
              <w:gridCol w:w="1155"/>
              <w:gridCol w:w="774"/>
              <w:gridCol w:w="1006"/>
              <w:gridCol w:w="3682"/>
            </w:tblGrid>
            <w:tr w:rsidR="005B5AAF" w:rsidRPr="00926A67" w14:paraId="3213CC17" w14:textId="77777777" w:rsidTr="005B5AAF">
              <w:trPr>
                <w:trHeight w:val="246"/>
              </w:trPr>
              <w:tc>
                <w:tcPr>
                  <w:tcW w:w="1155" w:type="dxa"/>
                  <w:vMerge w:val="restart"/>
                  <w:tcBorders>
                    <w:top w:val="single" w:sz="4" w:space="0" w:color="auto"/>
                    <w:left w:val="single" w:sz="4" w:space="0" w:color="auto"/>
                    <w:right w:val="single" w:sz="4" w:space="0" w:color="auto"/>
                  </w:tcBorders>
                  <w:shd w:val="clear" w:color="000000" w:fill="D9D9D9"/>
                </w:tcPr>
                <w:p w14:paraId="70F3A84B" w14:textId="77777777" w:rsidR="005B5AAF" w:rsidRPr="00926A67" w:rsidRDefault="005B5AAF" w:rsidP="002A7EFE">
                  <w:pPr>
                    <w:jc w:val="center"/>
                    <w:rPr>
                      <w:rFonts w:ascii="Calibri" w:hAnsi="Calibri" w:cs="Calibri"/>
                      <w:b/>
                      <w:bCs/>
                      <w:color w:val="000000"/>
                      <w:sz w:val="20"/>
                      <w:szCs w:val="20"/>
                    </w:rPr>
                  </w:pPr>
                  <w:r>
                    <w:rPr>
                      <w:rFonts w:ascii="Calibri" w:hAnsi="Calibri" w:cs="Calibri"/>
                      <w:b/>
                      <w:bCs/>
                      <w:color w:val="000000"/>
                      <w:sz w:val="20"/>
                      <w:szCs w:val="20"/>
                    </w:rPr>
                    <w:t>Installation Type</w:t>
                  </w:r>
                </w:p>
                <w:p w14:paraId="4E8C2AA0" w14:textId="77777777" w:rsidR="005B5AAF" w:rsidRPr="00926A67" w:rsidRDefault="005B5AAF" w:rsidP="002A7EFE">
                  <w:pPr>
                    <w:rPr>
                      <w:rFonts w:ascii="Calibri" w:hAnsi="Calibri" w:cs="Calibri"/>
                      <w:b/>
                      <w:bCs/>
                      <w:color w:val="000000"/>
                      <w:sz w:val="20"/>
                      <w:szCs w:val="20"/>
                    </w:rPr>
                  </w:pPr>
                </w:p>
              </w:tc>
              <w:tc>
                <w:tcPr>
                  <w:tcW w:w="774"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724C0CD2" w14:textId="77777777" w:rsidR="005B5AAF" w:rsidRPr="00926A67" w:rsidRDefault="005B5AAF" w:rsidP="002A7EFE">
                  <w:pPr>
                    <w:rPr>
                      <w:rFonts w:ascii="Calibri" w:hAnsi="Calibri" w:cs="Calibri"/>
                      <w:b/>
                      <w:bCs/>
                      <w:color w:val="000000"/>
                      <w:sz w:val="20"/>
                      <w:szCs w:val="20"/>
                    </w:rPr>
                  </w:pPr>
                  <w:r w:rsidRPr="00926A67">
                    <w:rPr>
                      <w:rFonts w:ascii="Calibri" w:hAnsi="Calibri" w:cs="Calibri"/>
                      <w:b/>
                      <w:bCs/>
                      <w:color w:val="000000"/>
                      <w:sz w:val="20"/>
                      <w:szCs w:val="20"/>
                    </w:rPr>
                    <w:t>Burger Width</w:t>
                  </w:r>
                </w:p>
              </w:tc>
              <w:tc>
                <w:tcPr>
                  <w:tcW w:w="1006"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A94C62E" w14:textId="77777777" w:rsidR="005B5AAF" w:rsidRDefault="005B5AAF" w:rsidP="002A7EFE">
                  <w:pPr>
                    <w:jc w:val="center"/>
                    <w:rPr>
                      <w:rFonts w:ascii="Calibri" w:hAnsi="Calibri" w:cs="Calibri"/>
                      <w:b/>
                      <w:bCs/>
                      <w:color w:val="000000"/>
                      <w:sz w:val="20"/>
                      <w:szCs w:val="20"/>
                    </w:rPr>
                  </w:pPr>
                  <w:r w:rsidRPr="00926A67">
                    <w:rPr>
                      <w:rFonts w:ascii="Calibri" w:hAnsi="Calibri" w:cs="Calibri"/>
                      <w:b/>
                      <w:bCs/>
                      <w:color w:val="000000"/>
                      <w:sz w:val="20"/>
                      <w:szCs w:val="20"/>
                    </w:rPr>
                    <w:t>Conveyor</w:t>
                  </w:r>
                </w:p>
                <w:p w14:paraId="6883B025" w14:textId="77777777" w:rsidR="005B5AAF" w:rsidRPr="00926A67" w:rsidRDefault="005B5AAF" w:rsidP="002A7EFE">
                  <w:pPr>
                    <w:jc w:val="center"/>
                    <w:rPr>
                      <w:rFonts w:ascii="Calibri" w:hAnsi="Calibri" w:cs="Calibri"/>
                      <w:b/>
                      <w:bCs/>
                      <w:color w:val="000000"/>
                      <w:sz w:val="20"/>
                      <w:szCs w:val="20"/>
                    </w:rPr>
                  </w:pPr>
                  <w:r w:rsidRPr="00926A67">
                    <w:rPr>
                      <w:rFonts w:ascii="Calibri" w:hAnsi="Calibri" w:cs="Calibri"/>
                      <w:b/>
                      <w:bCs/>
                      <w:color w:val="000000"/>
                      <w:sz w:val="20"/>
                      <w:szCs w:val="20"/>
                    </w:rPr>
                    <w:t>Width (in)</w:t>
                  </w:r>
                </w:p>
              </w:tc>
              <w:tc>
                <w:tcPr>
                  <w:tcW w:w="3682"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1F0968B0" w14:textId="77777777" w:rsidR="005B5AAF" w:rsidRPr="00926A67" w:rsidRDefault="005B5AAF" w:rsidP="002A7EFE">
                  <w:pPr>
                    <w:rPr>
                      <w:rFonts w:ascii="Calibri" w:hAnsi="Calibri" w:cs="Calibri"/>
                      <w:b/>
                      <w:bCs/>
                      <w:color w:val="000000"/>
                      <w:sz w:val="20"/>
                      <w:szCs w:val="20"/>
                    </w:rPr>
                  </w:pPr>
                  <w:r w:rsidRPr="00F80C05">
                    <w:rPr>
                      <w:rFonts w:ascii="Calibri" w:hAnsi="Calibri" w:cs="Calibri"/>
                      <w:b/>
                      <w:bCs/>
                      <w:color w:val="000000"/>
                      <w:sz w:val="20"/>
                      <w:szCs w:val="20"/>
                    </w:rPr>
                    <w:t>Incremental Measure Cost</w:t>
                  </w:r>
                </w:p>
              </w:tc>
            </w:tr>
            <w:tr w:rsidR="005B5AAF" w:rsidRPr="00926A67" w14:paraId="5A616E68" w14:textId="77777777" w:rsidTr="005B5AAF">
              <w:trPr>
                <w:trHeight w:val="280"/>
              </w:trPr>
              <w:tc>
                <w:tcPr>
                  <w:tcW w:w="1155" w:type="dxa"/>
                  <w:vMerge/>
                  <w:tcBorders>
                    <w:left w:val="single" w:sz="4" w:space="0" w:color="auto"/>
                    <w:bottom w:val="single" w:sz="4" w:space="0" w:color="auto"/>
                    <w:right w:val="single" w:sz="4" w:space="0" w:color="auto"/>
                  </w:tcBorders>
                  <w:shd w:val="clear" w:color="000000" w:fill="D9D9D9"/>
                </w:tcPr>
                <w:p w14:paraId="3C894A86" w14:textId="77777777" w:rsidR="005B5AAF" w:rsidRPr="00926A67" w:rsidRDefault="005B5AAF" w:rsidP="002A7EFE">
                  <w:pPr>
                    <w:rPr>
                      <w:rFonts w:ascii="Calibri" w:hAnsi="Calibri" w:cs="Calibri"/>
                      <w:b/>
                      <w:bCs/>
                      <w:color w:val="000000"/>
                      <w:sz w:val="20"/>
                      <w:szCs w:val="20"/>
                    </w:rPr>
                  </w:pPr>
                </w:p>
              </w:tc>
              <w:tc>
                <w:tcPr>
                  <w:tcW w:w="774" w:type="dxa"/>
                  <w:vMerge/>
                  <w:tcBorders>
                    <w:top w:val="single" w:sz="4" w:space="0" w:color="auto"/>
                    <w:left w:val="single" w:sz="4" w:space="0" w:color="auto"/>
                    <w:bottom w:val="single" w:sz="4" w:space="0" w:color="auto"/>
                    <w:right w:val="single" w:sz="4" w:space="0" w:color="auto"/>
                  </w:tcBorders>
                  <w:shd w:val="clear" w:color="000000" w:fill="D9D9D9"/>
                  <w:vAlign w:val="center"/>
                </w:tcPr>
                <w:p w14:paraId="79FCCB0C" w14:textId="77777777" w:rsidR="005B5AAF" w:rsidRPr="00926A67" w:rsidRDefault="005B5AAF" w:rsidP="002A7EFE">
                  <w:pPr>
                    <w:rPr>
                      <w:rFonts w:ascii="Calibri" w:hAnsi="Calibri" w:cs="Calibri"/>
                      <w:b/>
                      <w:bCs/>
                      <w:color w:val="000000"/>
                      <w:sz w:val="20"/>
                      <w:szCs w:val="20"/>
                    </w:rPr>
                  </w:pPr>
                </w:p>
              </w:tc>
              <w:tc>
                <w:tcPr>
                  <w:tcW w:w="1006" w:type="dxa"/>
                  <w:vMerge/>
                  <w:tcBorders>
                    <w:top w:val="single" w:sz="4" w:space="0" w:color="auto"/>
                    <w:left w:val="single" w:sz="4" w:space="0" w:color="auto"/>
                    <w:bottom w:val="single" w:sz="4" w:space="0" w:color="auto"/>
                    <w:right w:val="single" w:sz="4" w:space="0" w:color="auto"/>
                  </w:tcBorders>
                  <w:shd w:val="clear" w:color="000000" w:fill="D9D9D9"/>
                  <w:vAlign w:val="center"/>
                </w:tcPr>
                <w:p w14:paraId="7206796D" w14:textId="77777777" w:rsidR="005B5AAF" w:rsidRPr="00926A67" w:rsidRDefault="005B5AAF" w:rsidP="002A7EFE">
                  <w:pPr>
                    <w:rPr>
                      <w:rFonts w:ascii="Calibri" w:hAnsi="Calibri" w:cs="Calibri"/>
                      <w:b/>
                      <w:bCs/>
                      <w:color w:val="000000"/>
                      <w:sz w:val="20"/>
                      <w:szCs w:val="20"/>
                    </w:rPr>
                  </w:pPr>
                </w:p>
              </w:tc>
              <w:tc>
                <w:tcPr>
                  <w:tcW w:w="3682" w:type="dxa"/>
                  <w:vMerge/>
                  <w:tcBorders>
                    <w:top w:val="single" w:sz="4" w:space="0" w:color="auto"/>
                    <w:left w:val="single" w:sz="4" w:space="0" w:color="auto"/>
                    <w:bottom w:val="single" w:sz="4" w:space="0" w:color="auto"/>
                    <w:right w:val="single" w:sz="4" w:space="0" w:color="auto"/>
                  </w:tcBorders>
                  <w:shd w:val="clear" w:color="000000" w:fill="D9D9D9"/>
                  <w:vAlign w:val="center"/>
                </w:tcPr>
                <w:p w14:paraId="7D6D445A" w14:textId="77777777" w:rsidR="005B5AAF" w:rsidRPr="00F80C05" w:rsidRDefault="005B5AAF" w:rsidP="002A7EFE">
                  <w:pPr>
                    <w:rPr>
                      <w:rFonts w:ascii="Calibri" w:hAnsi="Calibri" w:cs="Calibri"/>
                      <w:b/>
                      <w:bCs/>
                      <w:color w:val="000000"/>
                      <w:sz w:val="20"/>
                      <w:szCs w:val="20"/>
                    </w:rPr>
                  </w:pPr>
                </w:p>
              </w:tc>
            </w:tr>
            <w:tr w:rsidR="005B5AAF" w:rsidRPr="00926A67" w14:paraId="3ED06633" w14:textId="77777777" w:rsidTr="005B5AAF">
              <w:trPr>
                <w:trHeight w:val="237"/>
              </w:trPr>
              <w:tc>
                <w:tcPr>
                  <w:tcW w:w="1155" w:type="dxa"/>
                  <w:vMerge w:val="restart"/>
                  <w:tcBorders>
                    <w:top w:val="single" w:sz="4" w:space="0" w:color="auto"/>
                    <w:left w:val="single" w:sz="4" w:space="0" w:color="auto"/>
                    <w:right w:val="single" w:sz="4" w:space="0" w:color="auto"/>
                  </w:tcBorders>
                </w:tcPr>
                <w:p w14:paraId="698F950B" w14:textId="77777777" w:rsidR="005B5AAF" w:rsidRPr="005E0716" w:rsidRDefault="005B5AAF" w:rsidP="002A7EFE">
                  <w:pPr>
                    <w:jc w:val="both"/>
                    <w:rPr>
                      <w:rFonts w:cstheme="minorHAnsi"/>
                      <w:color w:val="000000"/>
                      <w:sz w:val="18"/>
                      <w:szCs w:val="20"/>
                    </w:rPr>
                  </w:pPr>
                </w:p>
                <w:p w14:paraId="4455C39A" w14:textId="77777777" w:rsidR="005B5AAF" w:rsidRDefault="005B5AAF" w:rsidP="002A7EFE">
                  <w:pPr>
                    <w:jc w:val="center"/>
                    <w:rPr>
                      <w:rFonts w:cstheme="minorHAnsi"/>
                      <w:color w:val="000000"/>
                      <w:sz w:val="18"/>
                      <w:szCs w:val="20"/>
                    </w:rPr>
                  </w:pPr>
                </w:p>
                <w:p w14:paraId="293DC769" w14:textId="1B0F7712" w:rsidR="005B5AAF" w:rsidRPr="005E0716" w:rsidRDefault="005B5AAF" w:rsidP="002A7EFE">
                  <w:pPr>
                    <w:jc w:val="center"/>
                    <w:rPr>
                      <w:rFonts w:cstheme="minorHAnsi"/>
                      <w:color w:val="000000"/>
                      <w:sz w:val="18"/>
                      <w:szCs w:val="20"/>
                    </w:rPr>
                  </w:pPr>
                  <w:r>
                    <w:rPr>
                      <w:rFonts w:cstheme="minorHAnsi"/>
                      <w:color w:val="000000"/>
                      <w:sz w:val="18"/>
                      <w:szCs w:val="20"/>
                    </w:rPr>
                    <w:t>ROBNC</w:t>
                  </w:r>
                </w:p>
              </w:tc>
              <w:tc>
                <w:tcPr>
                  <w:tcW w:w="7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17C02A" w14:textId="77777777" w:rsidR="005B5AAF" w:rsidRPr="005E0716" w:rsidRDefault="005B5AAF" w:rsidP="002A7EFE">
                  <w:pPr>
                    <w:jc w:val="both"/>
                    <w:rPr>
                      <w:rFonts w:cstheme="minorHAnsi"/>
                      <w:color w:val="000000"/>
                      <w:sz w:val="18"/>
                      <w:szCs w:val="20"/>
                    </w:rPr>
                  </w:pPr>
                  <w:r w:rsidRPr="005E0716">
                    <w:rPr>
                      <w:rFonts w:cstheme="minorHAnsi"/>
                      <w:color w:val="000000"/>
                      <w:sz w:val="18"/>
                      <w:szCs w:val="20"/>
                    </w:rPr>
                    <w:t>2</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33EDDE" w14:textId="77777777" w:rsidR="005B5AAF" w:rsidRPr="005E0716" w:rsidRDefault="005B5AAF" w:rsidP="002A7EFE">
                  <w:pPr>
                    <w:jc w:val="both"/>
                    <w:rPr>
                      <w:rFonts w:cstheme="minorHAnsi"/>
                      <w:color w:val="000000"/>
                      <w:sz w:val="18"/>
                      <w:szCs w:val="20"/>
                    </w:rPr>
                  </w:pPr>
                  <w:r w:rsidRPr="005E0716">
                    <w:rPr>
                      <w:rFonts w:cstheme="minorHAnsi"/>
                      <w:color w:val="000000"/>
                      <w:sz w:val="18"/>
                      <w:szCs w:val="20"/>
                    </w:rPr>
                    <w:t>18</w:t>
                  </w:r>
                  <w:r>
                    <w:rPr>
                      <w:rFonts w:cstheme="minorHAnsi"/>
                      <w:color w:val="000000"/>
                      <w:sz w:val="18"/>
                      <w:szCs w:val="20"/>
                    </w:rPr>
                    <w:t>(&lt; 22”)</w:t>
                  </w:r>
                </w:p>
              </w:tc>
              <w:tc>
                <w:tcPr>
                  <w:tcW w:w="36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39129F" w14:textId="77777777" w:rsidR="005B5AAF" w:rsidRPr="005E0716" w:rsidRDefault="005B5AAF" w:rsidP="002A7EFE">
                  <w:pPr>
                    <w:jc w:val="both"/>
                    <w:rPr>
                      <w:rFonts w:cstheme="minorHAnsi"/>
                      <w:color w:val="000000"/>
                      <w:sz w:val="18"/>
                      <w:szCs w:val="20"/>
                    </w:rPr>
                  </w:pPr>
                  <w:r w:rsidRPr="005E0716">
                    <w:rPr>
                      <w:rFonts w:cstheme="minorHAnsi"/>
                      <w:color w:val="000000"/>
                      <w:sz w:val="18"/>
                      <w:szCs w:val="20"/>
                    </w:rPr>
                    <w:t>($10,404+$1000)-</w:t>
                  </w:r>
                </w:p>
                <w:p w14:paraId="638C47B5" w14:textId="77777777" w:rsidR="005B5AAF" w:rsidRPr="005E0716" w:rsidRDefault="005B5AAF" w:rsidP="002A7EFE">
                  <w:pPr>
                    <w:jc w:val="both"/>
                    <w:rPr>
                      <w:rFonts w:cstheme="minorHAnsi"/>
                      <w:color w:val="000000"/>
                      <w:sz w:val="18"/>
                      <w:szCs w:val="20"/>
                    </w:rPr>
                  </w:pPr>
                  <w:r w:rsidRPr="005E0716">
                    <w:rPr>
                      <w:rFonts w:cstheme="minorHAnsi"/>
                      <w:color w:val="000000"/>
                      <w:sz w:val="18"/>
                      <w:szCs w:val="20"/>
                    </w:rPr>
                    <w:t>($7,881+$1,000) = $2,523</w:t>
                  </w:r>
                </w:p>
              </w:tc>
            </w:tr>
            <w:tr w:rsidR="005B5AAF" w:rsidRPr="00926A67" w14:paraId="765350E7" w14:textId="77777777" w:rsidTr="005B5AAF">
              <w:trPr>
                <w:trHeight w:val="237"/>
              </w:trPr>
              <w:tc>
                <w:tcPr>
                  <w:tcW w:w="1155" w:type="dxa"/>
                  <w:vMerge/>
                  <w:tcBorders>
                    <w:left w:val="single" w:sz="4" w:space="0" w:color="auto"/>
                    <w:right w:val="single" w:sz="4" w:space="0" w:color="auto"/>
                  </w:tcBorders>
                </w:tcPr>
                <w:p w14:paraId="5BED88CE" w14:textId="77777777" w:rsidR="005B5AAF" w:rsidRPr="005E0716" w:rsidRDefault="005B5AAF" w:rsidP="002A7EFE">
                  <w:pPr>
                    <w:jc w:val="both"/>
                    <w:rPr>
                      <w:rFonts w:cstheme="minorHAnsi"/>
                      <w:color w:val="000000"/>
                      <w:sz w:val="18"/>
                      <w:szCs w:val="20"/>
                    </w:rPr>
                  </w:pPr>
                </w:p>
              </w:tc>
              <w:tc>
                <w:tcPr>
                  <w:tcW w:w="7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A639ED" w14:textId="77777777" w:rsidR="005B5AAF" w:rsidRPr="005E0716" w:rsidRDefault="005B5AAF" w:rsidP="002A7EFE">
                  <w:pPr>
                    <w:jc w:val="both"/>
                    <w:rPr>
                      <w:rFonts w:cstheme="minorHAnsi"/>
                      <w:color w:val="000000"/>
                      <w:sz w:val="18"/>
                      <w:szCs w:val="20"/>
                    </w:rPr>
                  </w:pPr>
                  <w:r w:rsidRPr="005E0716">
                    <w:rPr>
                      <w:rFonts w:cstheme="minorHAnsi"/>
                      <w:color w:val="000000"/>
                      <w:sz w:val="18"/>
                      <w:szCs w:val="20"/>
                    </w:rPr>
                    <w:t>3</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0912EF" w14:textId="77777777" w:rsidR="005B5AAF" w:rsidRPr="005E0716" w:rsidRDefault="005B5AAF" w:rsidP="002A7EFE">
                  <w:pPr>
                    <w:jc w:val="both"/>
                    <w:rPr>
                      <w:rFonts w:cstheme="minorHAnsi"/>
                      <w:color w:val="000000"/>
                      <w:sz w:val="18"/>
                      <w:szCs w:val="20"/>
                    </w:rPr>
                  </w:pPr>
                  <w:r w:rsidRPr="005E0716">
                    <w:rPr>
                      <w:rFonts w:cstheme="minorHAnsi"/>
                      <w:color w:val="000000"/>
                      <w:sz w:val="18"/>
                      <w:szCs w:val="20"/>
                    </w:rPr>
                    <w:t>26</w:t>
                  </w:r>
                  <w:r>
                    <w:rPr>
                      <w:rFonts w:cstheme="minorHAnsi"/>
                      <w:color w:val="000000"/>
                      <w:sz w:val="18"/>
                      <w:szCs w:val="20"/>
                    </w:rPr>
                    <w:t>(22-28”)</w:t>
                  </w:r>
                </w:p>
              </w:tc>
              <w:tc>
                <w:tcPr>
                  <w:tcW w:w="36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2852DC" w14:textId="77777777" w:rsidR="005B5AAF" w:rsidRPr="005E0716" w:rsidRDefault="005B5AAF" w:rsidP="002A7EFE">
                  <w:pPr>
                    <w:jc w:val="both"/>
                    <w:rPr>
                      <w:rFonts w:cstheme="minorHAnsi"/>
                      <w:color w:val="000000"/>
                      <w:sz w:val="18"/>
                      <w:szCs w:val="20"/>
                    </w:rPr>
                  </w:pPr>
                  <w:r w:rsidRPr="005E0716">
                    <w:rPr>
                      <w:rFonts w:cstheme="minorHAnsi"/>
                      <w:color w:val="000000"/>
                      <w:sz w:val="18"/>
                      <w:szCs w:val="20"/>
                    </w:rPr>
                    <w:t>($12,898+$1000) -</w:t>
                  </w:r>
                </w:p>
                <w:p w14:paraId="4EFF9B76" w14:textId="77777777" w:rsidR="005B5AAF" w:rsidRPr="005E0716" w:rsidRDefault="005B5AAF" w:rsidP="002A7EFE">
                  <w:pPr>
                    <w:jc w:val="both"/>
                    <w:rPr>
                      <w:rFonts w:cstheme="minorHAnsi"/>
                      <w:color w:val="000000"/>
                      <w:sz w:val="18"/>
                      <w:szCs w:val="20"/>
                    </w:rPr>
                  </w:pPr>
                  <w:r w:rsidRPr="005E0716">
                    <w:rPr>
                      <w:rFonts w:cstheme="minorHAnsi"/>
                      <w:color w:val="000000"/>
                      <w:sz w:val="18"/>
                      <w:szCs w:val="20"/>
                    </w:rPr>
                    <w:t>(9,752+$1000) = $3,146</w:t>
                  </w:r>
                </w:p>
              </w:tc>
            </w:tr>
            <w:tr w:rsidR="005B5AAF" w:rsidRPr="00926A67" w14:paraId="74EF22A1" w14:textId="77777777" w:rsidTr="005B5AAF">
              <w:trPr>
                <w:trHeight w:val="237"/>
              </w:trPr>
              <w:tc>
                <w:tcPr>
                  <w:tcW w:w="1155" w:type="dxa"/>
                  <w:vMerge/>
                  <w:tcBorders>
                    <w:left w:val="single" w:sz="4" w:space="0" w:color="auto"/>
                    <w:bottom w:val="single" w:sz="4" w:space="0" w:color="auto"/>
                    <w:right w:val="single" w:sz="4" w:space="0" w:color="auto"/>
                  </w:tcBorders>
                </w:tcPr>
                <w:p w14:paraId="7553ADD1" w14:textId="77777777" w:rsidR="005B5AAF" w:rsidRPr="005E0716" w:rsidRDefault="005B5AAF" w:rsidP="002A7EFE">
                  <w:pPr>
                    <w:jc w:val="both"/>
                    <w:rPr>
                      <w:rFonts w:cstheme="minorHAnsi"/>
                      <w:color w:val="000000"/>
                      <w:sz w:val="18"/>
                      <w:szCs w:val="20"/>
                    </w:rPr>
                  </w:pPr>
                </w:p>
              </w:tc>
              <w:tc>
                <w:tcPr>
                  <w:tcW w:w="7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402D87" w14:textId="77777777" w:rsidR="005B5AAF" w:rsidRPr="005E0716" w:rsidRDefault="005B5AAF" w:rsidP="002A7EFE">
                  <w:pPr>
                    <w:jc w:val="both"/>
                    <w:rPr>
                      <w:rFonts w:cstheme="minorHAnsi"/>
                      <w:color w:val="000000"/>
                      <w:sz w:val="18"/>
                      <w:szCs w:val="20"/>
                    </w:rPr>
                  </w:pPr>
                  <w:r w:rsidRPr="005E0716">
                    <w:rPr>
                      <w:rFonts w:cstheme="minorHAnsi"/>
                      <w:color w:val="000000"/>
                      <w:sz w:val="18"/>
                      <w:szCs w:val="20"/>
                    </w:rPr>
                    <w:t>4</w:t>
                  </w:r>
                </w:p>
              </w:tc>
              <w:tc>
                <w:tcPr>
                  <w:tcW w:w="1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1F5E9A" w14:textId="77777777" w:rsidR="005B5AAF" w:rsidRPr="005E0716" w:rsidRDefault="005B5AAF" w:rsidP="002A7EFE">
                  <w:pPr>
                    <w:jc w:val="both"/>
                    <w:rPr>
                      <w:rFonts w:cstheme="minorHAnsi"/>
                      <w:color w:val="000000"/>
                      <w:sz w:val="18"/>
                      <w:szCs w:val="20"/>
                    </w:rPr>
                  </w:pPr>
                  <w:r w:rsidRPr="005E0716">
                    <w:rPr>
                      <w:rFonts w:cstheme="minorHAnsi"/>
                      <w:color w:val="000000"/>
                      <w:sz w:val="18"/>
                      <w:szCs w:val="20"/>
                    </w:rPr>
                    <w:t>30</w:t>
                  </w:r>
                  <w:r>
                    <w:rPr>
                      <w:rFonts w:cstheme="minorHAnsi"/>
                      <w:color w:val="000000"/>
                      <w:sz w:val="18"/>
                      <w:szCs w:val="20"/>
                    </w:rPr>
                    <w:t>(&gt; 28”)</w:t>
                  </w:r>
                </w:p>
              </w:tc>
              <w:tc>
                <w:tcPr>
                  <w:tcW w:w="36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7CE328" w14:textId="77777777" w:rsidR="005B5AAF" w:rsidRPr="005E0716" w:rsidRDefault="005B5AAF" w:rsidP="002A7EFE">
                  <w:pPr>
                    <w:jc w:val="both"/>
                    <w:rPr>
                      <w:rFonts w:cstheme="minorHAnsi"/>
                      <w:color w:val="000000"/>
                      <w:sz w:val="18"/>
                      <w:szCs w:val="20"/>
                    </w:rPr>
                  </w:pPr>
                  <w:r w:rsidRPr="005E0716">
                    <w:rPr>
                      <w:rFonts w:cstheme="minorHAnsi"/>
                      <w:color w:val="000000"/>
                      <w:sz w:val="18"/>
                      <w:szCs w:val="20"/>
                    </w:rPr>
                    <w:t>($15,210 + $1000) -</w:t>
                  </w:r>
                </w:p>
                <w:p w14:paraId="27234BA0" w14:textId="77777777" w:rsidR="005B5AAF" w:rsidRPr="005E0716" w:rsidRDefault="005B5AAF" w:rsidP="002A7EFE">
                  <w:pPr>
                    <w:jc w:val="both"/>
                    <w:rPr>
                      <w:rFonts w:cstheme="minorHAnsi"/>
                      <w:color w:val="000000"/>
                      <w:sz w:val="18"/>
                      <w:szCs w:val="20"/>
                    </w:rPr>
                  </w:pPr>
                  <w:r w:rsidRPr="005E0716">
                    <w:rPr>
                      <w:rFonts w:cstheme="minorHAnsi"/>
                      <w:color w:val="000000"/>
                      <w:sz w:val="18"/>
                      <w:szCs w:val="20"/>
                    </w:rPr>
                    <w:t>($11,552+$1000) = $3,659</w:t>
                  </w:r>
                </w:p>
              </w:tc>
            </w:tr>
          </w:tbl>
          <w:p w14:paraId="11A26367" w14:textId="4A1AE4B2" w:rsidR="002A7EFE" w:rsidRDefault="002A7EFE" w:rsidP="002A7EFE">
            <w:pPr>
              <w:tabs>
                <w:tab w:val="right" w:pos="6732"/>
              </w:tabs>
              <w:rPr>
                <w:rFonts w:cs="Arial"/>
                <w:sz w:val="20"/>
                <w:szCs w:val="20"/>
              </w:rPr>
            </w:pPr>
          </w:p>
        </w:tc>
      </w:tr>
    </w:tbl>
    <w:p w14:paraId="11A26369" w14:textId="77777777" w:rsidR="001B5D6C" w:rsidRDefault="001B5D6C" w:rsidP="00FE636E">
      <w:pPr>
        <w:spacing w:after="200" w:line="276" w:lineRule="auto"/>
      </w:pPr>
    </w:p>
    <w:p w14:paraId="11A2636A" w14:textId="77777777" w:rsidR="00C228B0" w:rsidRDefault="00C228B0" w:rsidP="00567FEF"/>
    <w:p w14:paraId="11A2636B" w14:textId="77777777" w:rsidR="00C8526F" w:rsidRDefault="00C8526F" w:rsidP="00567FEF"/>
    <w:p w14:paraId="11A2636C" w14:textId="77777777" w:rsidR="00C8526F" w:rsidRDefault="00C8526F" w:rsidP="00567FEF"/>
    <w:p w14:paraId="11A2636D" w14:textId="77777777" w:rsidR="00C8526F" w:rsidRDefault="00C8526F" w:rsidP="00567FEF"/>
    <w:p w14:paraId="11A2636E" w14:textId="77777777" w:rsidR="00C8526F" w:rsidRDefault="00C8526F" w:rsidP="00567FEF"/>
    <w:p w14:paraId="11A2636F" w14:textId="77777777" w:rsidR="00C8526F" w:rsidRDefault="00C8526F" w:rsidP="00567FEF"/>
    <w:p w14:paraId="11A26370" w14:textId="77777777" w:rsidR="00C8526F" w:rsidRDefault="00C8526F" w:rsidP="00567FEF"/>
    <w:p w14:paraId="11A26371" w14:textId="77777777" w:rsidR="00C8526F" w:rsidRDefault="00C8526F" w:rsidP="00567FEF"/>
    <w:p w14:paraId="11A26372" w14:textId="77777777" w:rsidR="00C8526F" w:rsidRDefault="00C8526F" w:rsidP="00567FEF"/>
    <w:p w14:paraId="11A26373" w14:textId="77777777" w:rsidR="00C8526F" w:rsidRDefault="00C8526F" w:rsidP="00567FEF"/>
    <w:p w14:paraId="11A26553" w14:textId="18C64EF7" w:rsidR="00C8526F" w:rsidRDefault="00AB6950" w:rsidP="0089014B">
      <w:pPr>
        <w:spacing w:after="200" w:line="276" w:lineRule="auto"/>
        <w:rPr>
          <w:rFonts w:cstheme="minorHAnsi"/>
        </w:rPr>
      </w:pPr>
      <w:r>
        <w:rPr>
          <w:rFonts w:cstheme="minorHAnsi"/>
        </w:rPr>
        <w:t xml:space="preserve"> </w:t>
      </w:r>
    </w:p>
    <w:p w14:paraId="11A26557" w14:textId="56BC4FF3" w:rsidR="00C8526F" w:rsidRPr="0089014B" w:rsidRDefault="00C8526F" w:rsidP="002A7EFE">
      <w:pPr>
        <w:rPr>
          <w:rFonts w:cstheme="minorHAnsi"/>
          <w:szCs w:val="22"/>
        </w:rPr>
      </w:pPr>
      <w:r w:rsidRPr="00B3112F">
        <w:t xml:space="preserve"> </w:t>
      </w:r>
    </w:p>
    <w:p w14:paraId="11A26558" w14:textId="77777777" w:rsidR="00C8526F" w:rsidRPr="00FD3D43" w:rsidRDefault="00C8526F" w:rsidP="00567FEF"/>
    <w:sectPr w:rsidR="00C8526F" w:rsidRPr="00FD3D43" w:rsidSect="002A7EFE">
      <w:footerReference w:type="default" r:id="rId15"/>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A26566" w14:textId="77777777" w:rsidR="002A7EFE" w:rsidRDefault="002A7EFE" w:rsidP="00FE520B">
      <w:r>
        <w:separator/>
      </w:r>
    </w:p>
  </w:endnote>
  <w:endnote w:type="continuationSeparator" w:id="0">
    <w:p w14:paraId="11A26567" w14:textId="77777777" w:rsidR="002A7EFE" w:rsidRDefault="002A7EFE" w:rsidP="00FE5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Franklin Gothic Medium Cond">
    <w:panose1 w:val="020B06060304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A26568" w14:textId="080A0190" w:rsidR="002A7EFE" w:rsidRPr="00241A1F" w:rsidRDefault="002A7EFE" w:rsidP="00241A1F">
    <w:pPr>
      <w:pStyle w:val="Revnumber"/>
      <w:rPr>
        <w:b w:val="0"/>
        <w:szCs w:val="22"/>
      </w:rPr>
    </w:pPr>
    <w:r>
      <w:rPr>
        <w:b w:val="0"/>
      </w:rPr>
      <w:t>Workpaper PGECOFST129, Revision 0</w:t>
    </w:r>
    <w:r>
      <w:rPr>
        <w:b w:val="0"/>
      </w:rPr>
      <w:tab/>
    </w:r>
    <w:r>
      <w:rPr>
        <w:b w:val="0"/>
      </w:rPr>
      <w:tab/>
      <w:t>June 1, 2018</w:t>
    </w:r>
  </w:p>
  <w:p w14:paraId="11A26569" w14:textId="050C9A65" w:rsidR="002A7EFE" w:rsidRPr="009500DC" w:rsidRDefault="002A7EFE" w:rsidP="00241A1F">
    <w:pPr>
      <w:pStyle w:val="Revnumber"/>
      <w:tabs>
        <w:tab w:val="left" w:pos="5274"/>
      </w:tabs>
    </w:pPr>
    <w:r>
      <w:rPr>
        <w:b w:val="0"/>
      </w:rPr>
      <w:t>Pacific Gas &amp; Electric</w:t>
    </w:r>
    <w:r>
      <w:rPr>
        <w:b w:val="0"/>
      </w:rPr>
      <w:tab/>
    </w:r>
    <w:r w:rsidRPr="00C7215A">
      <w:rPr>
        <w:b w:val="0"/>
      </w:rPr>
      <w:fldChar w:fldCharType="begin"/>
    </w:r>
    <w:r w:rsidRPr="00C7215A">
      <w:rPr>
        <w:b w:val="0"/>
      </w:rPr>
      <w:instrText xml:space="preserve"> PAGE   \* MERGEFORMAT </w:instrText>
    </w:r>
    <w:r w:rsidRPr="00C7215A">
      <w:rPr>
        <w:b w:val="0"/>
      </w:rPr>
      <w:fldChar w:fldCharType="separate"/>
    </w:r>
    <w:r>
      <w:rPr>
        <w:b w:val="0"/>
        <w:noProof/>
      </w:rPr>
      <w:t>6</w:t>
    </w:r>
    <w:r w:rsidRPr="00C7215A">
      <w:rPr>
        <w:b w:val="0"/>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A2656A" w14:textId="52B4D03D" w:rsidR="002A7EFE" w:rsidRDefault="00282AAF" w:rsidP="00757232">
    <w:pPr>
      <w:pStyle w:val="Revnumber"/>
    </w:pPr>
    <w:r>
      <w:t>June 4</w:t>
    </w:r>
    <w:r w:rsidR="002A7EFE">
      <w:t>, 2018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A2656D" w14:textId="6DB7922B" w:rsidR="00C750F7" w:rsidRPr="009500DC" w:rsidRDefault="00AA2A7B" w:rsidP="009500DC">
    <w:pPr>
      <w:pStyle w:val="Footer"/>
      <w:pBdr>
        <w:top w:val="single" w:sz="4" w:space="1" w:color="auto"/>
      </w:pBdr>
      <w:rPr>
        <w:rFonts w:cstheme="minorHAnsi"/>
        <w:b/>
        <w:sz w:val="20"/>
        <w:szCs w:val="20"/>
      </w:rPr>
    </w:pPr>
    <w:r>
      <w:rPr>
        <w:rFonts w:cstheme="minorHAnsi"/>
        <w:b/>
        <w:sz w:val="20"/>
        <w:szCs w:val="20"/>
      </w:rPr>
      <w:t>PGECOFST129</w:t>
    </w:r>
    <w:r w:rsidR="00482172">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9B1F47">
          <w:rPr>
            <w:rFonts w:cstheme="minorHAnsi"/>
            <w:b/>
            <w:sz w:val="20"/>
            <w:szCs w:val="20"/>
          </w:rPr>
          <w:t xml:space="preserve">Revision </w:t>
        </w:r>
        <w:r w:rsidR="007C18B0">
          <w:rPr>
            <w:rFonts w:cstheme="minorHAnsi"/>
            <w:b/>
            <w:sz w:val="20"/>
            <w:szCs w:val="20"/>
          </w:rPr>
          <w:t>0</w:t>
        </w:r>
      </w:sdtContent>
    </w:sdt>
    <w:r w:rsidR="00482172" w:rsidRPr="009500DC">
      <w:rPr>
        <w:rFonts w:cstheme="minorHAnsi"/>
        <w:b/>
        <w:sz w:val="20"/>
        <w:szCs w:val="20"/>
      </w:rPr>
      <w:tab/>
    </w:r>
    <w:r w:rsidR="00482172" w:rsidRPr="009500DC">
      <w:rPr>
        <w:rFonts w:cstheme="minorHAnsi"/>
        <w:b/>
        <w:sz w:val="20"/>
        <w:szCs w:val="20"/>
      </w:rPr>
      <w:fldChar w:fldCharType="begin"/>
    </w:r>
    <w:r w:rsidR="00482172" w:rsidRPr="009500DC">
      <w:rPr>
        <w:rFonts w:cstheme="minorHAnsi"/>
        <w:b/>
        <w:sz w:val="20"/>
        <w:szCs w:val="20"/>
      </w:rPr>
      <w:instrText xml:space="preserve"> PAGE   \* MERGEFORMAT </w:instrText>
    </w:r>
    <w:r w:rsidR="00482172" w:rsidRPr="009500DC">
      <w:rPr>
        <w:rFonts w:cstheme="minorHAnsi"/>
        <w:b/>
        <w:sz w:val="20"/>
        <w:szCs w:val="20"/>
      </w:rPr>
      <w:fldChar w:fldCharType="separate"/>
    </w:r>
    <w:r w:rsidR="00E768E1">
      <w:rPr>
        <w:rFonts w:cstheme="minorHAnsi"/>
        <w:b/>
        <w:noProof/>
        <w:sz w:val="20"/>
        <w:szCs w:val="20"/>
      </w:rPr>
      <w:t>3</w:t>
    </w:r>
    <w:r w:rsidR="00482172" w:rsidRPr="009500DC">
      <w:rPr>
        <w:rFonts w:cstheme="minorHAnsi"/>
        <w:b/>
        <w:noProof/>
        <w:sz w:val="20"/>
        <w:szCs w:val="20"/>
      </w:rPr>
      <w:fldChar w:fldCharType="end"/>
    </w:r>
    <w:r w:rsidR="00482172"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8-06-04T00:00:00Z">
          <w:dateFormat w:val="MMMM d, yyyy"/>
          <w:lid w:val="en-US"/>
          <w:storeMappedDataAs w:val="dateTime"/>
          <w:calendar w:val="gregorian"/>
        </w:date>
      </w:sdtPr>
      <w:sdtEndPr/>
      <w:sdtContent>
        <w:r w:rsidR="00282AAF">
          <w:rPr>
            <w:rFonts w:cstheme="minorHAnsi"/>
            <w:b/>
            <w:sz w:val="20"/>
            <w:szCs w:val="20"/>
          </w:rPr>
          <w:t>June 4</w:t>
        </w:r>
        <w:r>
          <w:rPr>
            <w:rFonts w:cstheme="minorHAnsi"/>
            <w:b/>
            <w:sz w:val="20"/>
            <w:szCs w:val="20"/>
          </w:rPr>
          <w:t>, 2018</w:t>
        </w:r>
      </w:sdtContent>
    </w:sdt>
  </w:p>
  <w:p w14:paraId="11A2656E" w14:textId="77777777" w:rsidR="00C750F7" w:rsidRPr="009500DC" w:rsidRDefault="00E768E1" w:rsidP="009500DC">
    <w:pPr>
      <w:pStyle w:val="Footer"/>
      <w:pBdr>
        <w:top w:val="single" w:sz="4" w:space="1" w:color="auto"/>
      </w:pBdr>
      <w:rPr>
        <w:rFonts w:cstheme="minorHAnsi"/>
      </w:rPr>
    </w:pPr>
    <w:sdt>
      <w:sdtPr>
        <w:rPr>
          <w:rFonts w:cstheme="minorHAnsi"/>
          <w:b/>
          <w:sz w:val="20"/>
          <w:szCs w:val="20"/>
        </w:rPr>
        <w:alias w:val="Company"/>
        <w:tag w:val=""/>
        <w:id w:val="-368612514"/>
        <w:showingPlcHdr/>
        <w:dataBinding w:prefixMappings="xmlns:ns0='http://schemas.openxmlformats.org/officeDocument/2006/extended-properties' " w:xpath="/ns0:Properties[1]/ns0:Company[1]" w:storeItemID="{6668398D-A668-4E3E-A5EB-62B293D839F1}"/>
        <w:text/>
      </w:sdtPr>
      <w:sdtEndPr/>
      <w:sdtContent>
        <w:r w:rsidR="00AE3EC5">
          <w:rPr>
            <w:rFonts w:cstheme="minorHAnsi"/>
            <w:b/>
            <w:sz w:val="20"/>
            <w:szCs w:val="20"/>
          </w:rPr>
          <w:t xml:space="preserve">     </w:t>
        </w:r>
      </w:sdtContent>
    </w:sdt>
  </w:p>
  <w:p w14:paraId="11A2656F" w14:textId="77777777" w:rsidR="00C750F7" w:rsidRDefault="00E768E1"/>
  <w:p w14:paraId="11A26570" w14:textId="77777777" w:rsidR="00C750F7" w:rsidRDefault="00E768E1"/>
  <w:p w14:paraId="01D3F591" w14:textId="77777777" w:rsidR="00417843" w:rsidRDefault="0041784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A26564" w14:textId="77777777" w:rsidR="002A7EFE" w:rsidRDefault="002A7EFE" w:rsidP="00FE520B">
      <w:r>
        <w:separator/>
      </w:r>
    </w:p>
  </w:footnote>
  <w:footnote w:type="continuationSeparator" w:id="0">
    <w:p w14:paraId="11A26565" w14:textId="77777777" w:rsidR="002A7EFE" w:rsidRDefault="002A7EFE" w:rsidP="00FE52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D565F"/>
    <w:multiLevelType w:val="hybridMultilevel"/>
    <w:tmpl w:val="888CE7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18306D"/>
    <w:multiLevelType w:val="hybridMultilevel"/>
    <w:tmpl w:val="8FA4F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860C73"/>
    <w:multiLevelType w:val="hybridMultilevel"/>
    <w:tmpl w:val="4738B3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F536F9"/>
    <w:multiLevelType w:val="hybridMultilevel"/>
    <w:tmpl w:val="576648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7B76320"/>
    <w:multiLevelType w:val="hybridMultilevel"/>
    <w:tmpl w:val="273CA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E06E2"/>
    <w:multiLevelType w:val="hybridMultilevel"/>
    <w:tmpl w:val="84067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9026C56"/>
    <w:multiLevelType w:val="hybridMultilevel"/>
    <w:tmpl w:val="B64C09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959735B"/>
    <w:multiLevelType w:val="hybridMultilevel"/>
    <w:tmpl w:val="8B781070"/>
    <w:lvl w:ilvl="0" w:tplc="04090005">
      <w:start w:val="1"/>
      <w:numFmt w:val="bullet"/>
      <w:lvlText w:val=""/>
      <w:lvlJc w:val="left"/>
      <w:pPr>
        <w:ind w:left="720" w:hanging="360"/>
      </w:pPr>
      <w:rPr>
        <w:rFonts w:ascii="Wingdings" w:hAnsi="Wingdings"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F273A71"/>
    <w:multiLevelType w:val="multilevel"/>
    <w:tmpl w:val="8AB81EBE"/>
    <w:lvl w:ilvl="0">
      <w:start w:val="1"/>
      <w:numFmt w:val="decimal"/>
      <w:lvlText w:val="%1"/>
      <w:lvlJc w:val="left"/>
      <w:pPr>
        <w:ind w:left="408" w:hanging="408"/>
      </w:pPr>
      <w:rPr>
        <w:rFonts w:hint="default"/>
      </w:rPr>
    </w:lvl>
    <w:lvl w:ilvl="1">
      <w:start w:val="1"/>
      <w:numFmt w:val="decimal"/>
      <w:lvlText w:val="%1.%2"/>
      <w:lvlJc w:val="left"/>
      <w:pPr>
        <w:ind w:left="408" w:hanging="40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369E114C"/>
    <w:multiLevelType w:val="hybridMultilevel"/>
    <w:tmpl w:val="CA14D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8444676"/>
    <w:multiLevelType w:val="hybridMultilevel"/>
    <w:tmpl w:val="4BB032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20907F1"/>
    <w:multiLevelType w:val="hybridMultilevel"/>
    <w:tmpl w:val="920ECDAA"/>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start w:val="1"/>
      <w:numFmt w:val="bullet"/>
      <w:lvlText w:val="o"/>
      <w:lvlJc w:val="left"/>
      <w:pPr>
        <w:tabs>
          <w:tab w:val="num" w:pos="2520"/>
        </w:tabs>
        <w:ind w:left="2520" w:hanging="360"/>
      </w:pPr>
      <w:rPr>
        <w:rFonts w:ascii="Courier New" w:hAnsi="Courier New" w:cs="Courier New" w:hint="default"/>
      </w:rPr>
    </w:lvl>
    <w:lvl w:ilvl="5" w:tplc="04090005">
      <w:start w:val="1"/>
      <w:numFmt w:val="bullet"/>
      <w:lvlText w:val=""/>
      <w:lvlJc w:val="left"/>
      <w:pPr>
        <w:tabs>
          <w:tab w:val="num" w:pos="3240"/>
        </w:tabs>
        <w:ind w:left="3240" w:hanging="360"/>
      </w:pPr>
      <w:rPr>
        <w:rFonts w:ascii="Wingdings" w:hAnsi="Wingdings" w:hint="default"/>
      </w:rPr>
    </w:lvl>
    <w:lvl w:ilvl="6" w:tplc="04090001">
      <w:start w:val="1"/>
      <w:numFmt w:val="bullet"/>
      <w:lvlText w:val=""/>
      <w:lvlJc w:val="left"/>
      <w:pPr>
        <w:tabs>
          <w:tab w:val="num" w:pos="3960"/>
        </w:tabs>
        <w:ind w:left="3960" w:hanging="360"/>
      </w:pPr>
      <w:rPr>
        <w:rFonts w:ascii="Symbol" w:hAnsi="Symbol" w:hint="default"/>
      </w:rPr>
    </w:lvl>
    <w:lvl w:ilvl="7" w:tplc="04090003">
      <w:start w:val="1"/>
      <w:numFmt w:val="bullet"/>
      <w:lvlText w:val="o"/>
      <w:lvlJc w:val="left"/>
      <w:pPr>
        <w:tabs>
          <w:tab w:val="num" w:pos="4680"/>
        </w:tabs>
        <w:ind w:left="4680" w:hanging="360"/>
      </w:pPr>
      <w:rPr>
        <w:rFonts w:ascii="Courier New" w:hAnsi="Courier New" w:cs="Courier New" w:hint="default"/>
      </w:rPr>
    </w:lvl>
    <w:lvl w:ilvl="8" w:tplc="04090005">
      <w:start w:val="1"/>
      <w:numFmt w:val="bullet"/>
      <w:lvlText w:val=""/>
      <w:lvlJc w:val="left"/>
      <w:pPr>
        <w:tabs>
          <w:tab w:val="num" w:pos="5400"/>
        </w:tabs>
        <w:ind w:left="5400" w:hanging="360"/>
      </w:pPr>
      <w:rPr>
        <w:rFonts w:ascii="Wingdings" w:hAnsi="Wingdings" w:hint="default"/>
      </w:rPr>
    </w:lvl>
  </w:abstractNum>
  <w:abstractNum w:abstractNumId="12">
    <w:nsid w:val="436E15C8"/>
    <w:multiLevelType w:val="hybridMultilevel"/>
    <w:tmpl w:val="849E0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5411277"/>
    <w:multiLevelType w:val="hybridMultilevel"/>
    <w:tmpl w:val="47E0B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CCF5896"/>
    <w:multiLevelType w:val="hybridMultilevel"/>
    <w:tmpl w:val="348A011E"/>
    <w:lvl w:ilvl="0" w:tplc="D0BE8582">
      <w:start w:val="3"/>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48A06F7"/>
    <w:multiLevelType w:val="hybridMultilevel"/>
    <w:tmpl w:val="EDD22FC0"/>
    <w:lvl w:ilvl="0" w:tplc="04090001">
      <w:start w:val="1"/>
      <w:numFmt w:val="bullet"/>
      <w:lvlText w:val=""/>
      <w:lvlJc w:val="left"/>
      <w:pPr>
        <w:ind w:left="720" w:hanging="360"/>
      </w:pPr>
      <w:rPr>
        <w:rFonts w:ascii="Symbol" w:hAnsi="Symbol"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6105C9F"/>
    <w:multiLevelType w:val="hybridMultilevel"/>
    <w:tmpl w:val="38CC48DA"/>
    <w:lvl w:ilvl="0" w:tplc="04090001">
      <w:start w:val="1"/>
      <w:numFmt w:val="bullet"/>
      <w:lvlText w:val=""/>
      <w:lvlJc w:val="left"/>
      <w:pPr>
        <w:ind w:left="930" w:hanging="360"/>
      </w:pPr>
      <w:rPr>
        <w:rFonts w:ascii="Symbol" w:hAnsi="Symbol" w:hint="default"/>
      </w:rPr>
    </w:lvl>
    <w:lvl w:ilvl="1" w:tplc="04090003">
      <w:start w:val="1"/>
      <w:numFmt w:val="bullet"/>
      <w:lvlText w:val="o"/>
      <w:lvlJc w:val="left"/>
      <w:pPr>
        <w:ind w:left="1650" w:hanging="360"/>
      </w:pPr>
      <w:rPr>
        <w:rFonts w:ascii="Courier New" w:hAnsi="Courier New" w:cs="Courier New" w:hint="default"/>
      </w:rPr>
    </w:lvl>
    <w:lvl w:ilvl="2" w:tplc="04090005">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17">
    <w:nsid w:val="56235535"/>
    <w:multiLevelType w:val="hybridMultilevel"/>
    <w:tmpl w:val="1B0853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56D8678E"/>
    <w:multiLevelType w:val="hybridMultilevel"/>
    <w:tmpl w:val="AF76E458"/>
    <w:lvl w:ilvl="0" w:tplc="F1947144">
      <w:start w:val="3"/>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5A20419B"/>
    <w:multiLevelType w:val="hybridMultilevel"/>
    <w:tmpl w:val="1660A1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6BEB74B8"/>
    <w:multiLevelType w:val="hybridMultilevel"/>
    <w:tmpl w:val="EEF6FA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7C7E2F62"/>
    <w:multiLevelType w:val="hybridMultilevel"/>
    <w:tmpl w:val="1D4658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7CA47ADA"/>
    <w:multiLevelType w:val="hybridMultilevel"/>
    <w:tmpl w:val="A6245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D8E165E"/>
    <w:multiLevelType w:val="hybridMultilevel"/>
    <w:tmpl w:val="42E6D3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3"/>
  </w:num>
  <w:num w:numId="4">
    <w:abstractNumId w:val="9"/>
  </w:num>
  <w:num w:numId="5">
    <w:abstractNumId w:val="13"/>
  </w:num>
  <w:num w:numId="6">
    <w:abstractNumId w:val="6"/>
  </w:num>
  <w:num w:numId="7">
    <w:abstractNumId w:val="22"/>
  </w:num>
  <w:num w:numId="8">
    <w:abstractNumId w:val="15"/>
  </w:num>
  <w:num w:numId="9">
    <w:abstractNumId w:val="7"/>
  </w:num>
  <w:num w:numId="10">
    <w:abstractNumId w:val="17"/>
  </w:num>
  <w:num w:numId="11">
    <w:abstractNumId w:val="21"/>
  </w:num>
  <w:num w:numId="12">
    <w:abstractNumId w:val="12"/>
  </w:num>
  <w:num w:numId="13">
    <w:abstractNumId w:val="23"/>
  </w:num>
  <w:num w:numId="14">
    <w:abstractNumId w:val="11"/>
  </w:num>
  <w:num w:numId="15">
    <w:abstractNumId w:val="24"/>
  </w:num>
  <w:num w:numId="16">
    <w:abstractNumId w:val="14"/>
  </w:num>
  <w:num w:numId="17">
    <w:abstractNumId w:val="18"/>
  </w:num>
  <w:num w:numId="18">
    <w:abstractNumId w:val="16"/>
  </w:num>
  <w:num w:numId="19">
    <w:abstractNumId w:val="10"/>
  </w:num>
  <w:num w:numId="20">
    <w:abstractNumId w:val="20"/>
  </w:num>
  <w:num w:numId="21">
    <w:abstractNumId w:val="8"/>
  </w:num>
  <w:num w:numId="22">
    <w:abstractNumId w:val="1"/>
  </w:num>
  <w:num w:numId="23">
    <w:abstractNumId w:val="2"/>
  </w:num>
  <w:num w:numId="24">
    <w:abstractNumId w:val="19"/>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17C6"/>
    <w:rsid w:val="00004D4E"/>
    <w:rsid w:val="00023C32"/>
    <w:rsid w:val="00026262"/>
    <w:rsid w:val="00031221"/>
    <w:rsid w:val="0003137E"/>
    <w:rsid w:val="00031BA0"/>
    <w:rsid w:val="00041DA6"/>
    <w:rsid w:val="00052743"/>
    <w:rsid w:val="00052CE4"/>
    <w:rsid w:val="0006116B"/>
    <w:rsid w:val="00067315"/>
    <w:rsid w:val="000719BF"/>
    <w:rsid w:val="00076614"/>
    <w:rsid w:val="00091F1E"/>
    <w:rsid w:val="000B5761"/>
    <w:rsid w:val="000C13AE"/>
    <w:rsid w:val="000D4C68"/>
    <w:rsid w:val="000E19CA"/>
    <w:rsid w:val="000E2CA6"/>
    <w:rsid w:val="000E43BB"/>
    <w:rsid w:val="000F6BA3"/>
    <w:rsid w:val="000F72EF"/>
    <w:rsid w:val="00116D61"/>
    <w:rsid w:val="0012271D"/>
    <w:rsid w:val="00136994"/>
    <w:rsid w:val="00143843"/>
    <w:rsid w:val="00160E47"/>
    <w:rsid w:val="001752E5"/>
    <w:rsid w:val="00194466"/>
    <w:rsid w:val="001A11C1"/>
    <w:rsid w:val="001A34A6"/>
    <w:rsid w:val="001A4875"/>
    <w:rsid w:val="001B1C8A"/>
    <w:rsid w:val="001B5D6C"/>
    <w:rsid w:val="001C3663"/>
    <w:rsid w:val="001D0AB9"/>
    <w:rsid w:val="001D30D2"/>
    <w:rsid w:val="001D57D7"/>
    <w:rsid w:val="001D6A64"/>
    <w:rsid w:val="001E5195"/>
    <w:rsid w:val="001F1328"/>
    <w:rsid w:val="001F5504"/>
    <w:rsid w:val="00200084"/>
    <w:rsid w:val="00200310"/>
    <w:rsid w:val="00206565"/>
    <w:rsid w:val="00215828"/>
    <w:rsid w:val="00221E65"/>
    <w:rsid w:val="00231DE1"/>
    <w:rsid w:val="00241A1F"/>
    <w:rsid w:val="00244447"/>
    <w:rsid w:val="00250C25"/>
    <w:rsid w:val="00251156"/>
    <w:rsid w:val="0027410B"/>
    <w:rsid w:val="00282AAF"/>
    <w:rsid w:val="00291B2B"/>
    <w:rsid w:val="002A7EFE"/>
    <w:rsid w:val="002C1030"/>
    <w:rsid w:val="002C15E6"/>
    <w:rsid w:val="002D7B3E"/>
    <w:rsid w:val="002E0948"/>
    <w:rsid w:val="002E24BE"/>
    <w:rsid w:val="003065FA"/>
    <w:rsid w:val="00312768"/>
    <w:rsid w:val="00323C28"/>
    <w:rsid w:val="00324737"/>
    <w:rsid w:val="0032761E"/>
    <w:rsid w:val="00333E1B"/>
    <w:rsid w:val="00334386"/>
    <w:rsid w:val="00360CFA"/>
    <w:rsid w:val="00362173"/>
    <w:rsid w:val="0039527A"/>
    <w:rsid w:val="003A0D2B"/>
    <w:rsid w:val="003A4277"/>
    <w:rsid w:val="003A5223"/>
    <w:rsid w:val="003A7B4E"/>
    <w:rsid w:val="003B48B2"/>
    <w:rsid w:val="003B5DCF"/>
    <w:rsid w:val="003B605F"/>
    <w:rsid w:val="003C2EE4"/>
    <w:rsid w:val="003D1C21"/>
    <w:rsid w:val="003E0DC8"/>
    <w:rsid w:val="003E122A"/>
    <w:rsid w:val="003E3894"/>
    <w:rsid w:val="003E61C8"/>
    <w:rsid w:val="003E6E57"/>
    <w:rsid w:val="003E6FA5"/>
    <w:rsid w:val="003F1F0D"/>
    <w:rsid w:val="0040026D"/>
    <w:rsid w:val="004016D3"/>
    <w:rsid w:val="00402B3D"/>
    <w:rsid w:val="00413EF4"/>
    <w:rsid w:val="00417843"/>
    <w:rsid w:val="00431763"/>
    <w:rsid w:val="00435DC7"/>
    <w:rsid w:val="00443CA7"/>
    <w:rsid w:val="0044686E"/>
    <w:rsid w:val="004519B4"/>
    <w:rsid w:val="00454489"/>
    <w:rsid w:val="004546FD"/>
    <w:rsid w:val="004621F7"/>
    <w:rsid w:val="00463A00"/>
    <w:rsid w:val="00463A68"/>
    <w:rsid w:val="00467DB3"/>
    <w:rsid w:val="00481A9D"/>
    <w:rsid w:val="00482172"/>
    <w:rsid w:val="00493EB4"/>
    <w:rsid w:val="004A6215"/>
    <w:rsid w:val="004C3465"/>
    <w:rsid w:val="004D0326"/>
    <w:rsid w:val="004D5D19"/>
    <w:rsid w:val="004E10FC"/>
    <w:rsid w:val="004E13B2"/>
    <w:rsid w:val="0051536D"/>
    <w:rsid w:val="005428E1"/>
    <w:rsid w:val="00555671"/>
    <w:rsid w:val="00556B27"/>
    <w:rsid w:val="005613FC"/>
    <w:rsid w:val="00567FEF"/>
    <w:rsid w:val="00580664"/>
    <w:rsid w:val="00583D02"/>
    <w:rsid w:val="0059117D"/>
    <w:rsid w:val="00591D85"/>
    <w:rsid w:val="005944C1"/>
    <w:rsid w:val="0059663B"/>
    <w:rsid w:val="005B487F"/>
    <w:rsid w:val="005B5614"/>
    <w:rsid w:val="005B5AAF"/>
    <w:rsid w:val="005C1518"/>
    <w:rsid w:val="005D0040"/>
    <w:rsid w:val="005E0A85"/>
    <w:rsid w:val="005E18A1"/>
    <w:rsid w:val="005F3ECD"/>
    <w:rsid w:val="005F4AE2"/>
    <w:rsid w:val="0061099B"/>
    <w:rsid w:val="00614182"/>
    <w:rsid w:val="00632FF7"/>
    <w:rsid w:val="00636490"/>
    <w:rsid w:val="00650C31"/>
    <w:rsid w:val="00650F0D"/>
    <w:rsid w:val="00653C4B"/>
    <w:rsid w:val="00666474"/>
    <w:rsid w:val="00666CDA"/>
    <w:rsid w:val="00684ABA"/>
    <w:rsid w:val="006875B3"/>
    <w:rsid w:val="00695478"/>
    <w:rsid w:val="006A3E63"/>
    <w:rsid w:val="006B0D5C"/>
    <w:rsid w:val="006D03F9"/>
    <w:rsid w:val="006D07B7"/>
    <w:rsid w:val="006F2487"/>
    <w:rsid w:val="00700C85"/>
    <w:rsid w:val="00707736"/>
    <w:rsid w:val="00711B58"/>
    <w:rsid w:val="00727839"/>
    <w:rsid w:val="007406FA"/>
    <w:rsid w:val="00755B4D"/>
    <w:rsid w:val="00757232"/>
    <w:rsid w:val="00762D81"/>
    <w:rsid w:val="0076481A"/>
    <w:rsid w:val="007649AC"/>
    <w:rsid w:val="00785AC8"/>
    <w:rsid w:val="00786CAF"/>
    <w:rsid w:val="00786E32"/>
    <w:rsid w:val="0078756E"/>
    <w:rsid w:val="00787D7C"/>
    <w:rsid w:val="00792928"/>
    <w:rsid w:val="00796174"/>
    <w:rsid w:val="00797B54"/>
    <w:rsid w:val="007A2F86"/>
    <w:rsid w:val="007B0A6F"/>
    <w:rsid w:val="007B3A5B"/>
    <w:rsid w:val="007C18B0"/>
    <w:rsid w:val="007D1F1E"/>
    <w:rsid w:val="007D3A21"/>
    <w:rsid w:val="007D6BD0"/>
    <w:rsid w:val="007E011C"/>
    <w:rsid w:val="007E66F2"/>
    <w:rsid w:val="00814F9B"/>
    <w:rsid w:val="0081521B"/>
    <w:rsid w:val="008365EB"/>
    <w:rsid w:val="008526AB"/>
    <w:rsid w:val="00856FA4"/>
    <w:rsid w:val="00862113"/>
    <w:rsid w:val="008724D6"/>
    <w:rsid w:val="008775D7"/>
    <w:rsid w:val="00884B9C"/>
    <w:rsid w:val="0089014B"/>
    <w:rsid w:val="008A1557"/>
    <w:rsid w:val="008A1D1C"/>
    <w:rsid w:val="008A4224"/>
    <w:rsid w:val="008B3167"/>
    <w:rsid w:val="008C2C8A"/>
    <w:rsid w:val="008C5A8E"/>
    <w:rsid w:val="008C674A"/>
    <w:rsid w:val="008D0B3C"/>
    <w:rsid w:val="008D2A13"/>
    <w:rsid w:val="008E0850"/>
    <w:rsid w:val="008E5CD5"/>
    <w:rsid w:val="008E699A"/>
    <w:rsid w:val="008E7A0C"/>
    <w:rsid w:val="008F5DEF"/>
    <w:rsid w:val="00900302"/>
    <w:rsid w:val="00910D54"/>
    <w:rsid w:val="00920B88"/>
    <w:rsid w:val="009269CE"/>
    <w:rsid w:val="0093657B"/>
    <w:rsid w:val="00936764"/>
    <w:rsid w:val="00950249"/>
    <w:rsid w:val="00957C01"/>
    <w:rsid w:val="0097295A"/>
    <w:rsid w:val="00986A83"/>
    <w:rsid w:val="009B125C"/>
    <w:rsid w:val="009B1F47"/>
    <w:rsid w:val="009C3F2D"/>
    <w:rsid w:val="009C6AE8"/>
    <w:rsid w:val="009D2FCD"/>
    <w:rsid w:val="009F3770"/>
    <w:rsid w:val="00A051D9"/>
    <w:rsid w:val="00A3401B"/>
    <w:rsid w:val="00A37F6D"/>
    <w:rsid w:val="00A42821"/>
    <w:rsid w:val="00A61271"/>
    <w:rsid w:val="00A71532"/>
    <w:rsid w:val="00A75B5B"/>
    <w:rsid w:val="00A75EDC"/>
    <w:rsid w:val="00A965B2"/>
    <w:rsid w:val="00AA2A7B"/>
    <w:rsid w:val="00AA3B68"/>
    <w:rsid w:val="00AA43C4"/>
    <w:rsid w:val="00AB6950"/>
    <w:rsid w:val="00AD0E19"/>
    <w:rsid w:val="00AE3EC5"/>
    <w:rsid w:val="00AF3C67"/>
    <w:rsid w:val="00B37963"/>
    <w:rsid w:val="00B45919"/>
    <w:rsid w:val="00B471CC"/>
    <w:rsid w:val="00B47B58"/>
    <w:rsid w:val="00B57F32"/>
    <w:rsid w:val="00B61FCD"/>
    <w:rsid w:val="00B74AFF"/>
    <w:rsid w:val="00B75260"/>
    <w:rsid w:val="00B75AF4"/>
    <w:rsid w:val="00B80557"/>
    <w:rsid w:val="00B818B4"/>
    <w:rsid w:val="00B84663"/>
    <w:rsid w:val="00B9234D"/>
    <w:rsid w:val="00B9452E"/>
    <w:rsid w:val="00B9551F"/>
    <w:rsid w:val="00BA41C0"/>
    <w:rsid w:val="00BB2D80"/>
    <w:rsid w:val="00BC3EAB"/>
    <w:rsid w:val="00BC40DB"/>
    <w:rsid w:val="00BC6454"/>
    <w:rsid w:val="00BD7ED5"/>
    <w:rsid w:val="00BF0CB6"/>
    <w:rsid w:val="00C048F4"/>
    <w:rsid w:val="00C05797"/>
    <w:rsid w:val="00C06B9E"/>
    <w:rsid w:val="00C15B1A"/>
    <w:rsid w:val="00C15F66"/>
    <w:rsid w:val="00C228B0"/>
    <w:rsid w:val="00C23CAB"/>
    <w:rsid w:val="00C24892"/>
    <w:rsid w:val="00C414A6"/>
    <w:rsid w:val="00C44550"/>
    <w:rsid w:val="00C44E5A"/>
    <w:rsid w:val="00C462C1"/>
    <w:rsid w:val="00C54AC6"/>
    <w:rsid w:val="00C7215A"/>
    <w:rsid w:val="00C8526F"/>
    <w:rsid w:val="00C871A7"/>
    <w:rsid w:val="00CA48A0"/>
    <w:rsid w:val="00CB10BC"/>
    <w:rsid w:val="00CB5307"/>
    <w:rsid w:val="00CF01A3"/>
    <w:rsid w:val="00CF295D"/>
    <w:rsid w:val="00CF2ABA"/>
    <w:rsid w:val="00D00FCF"/>
    <w:rsid w:val="00D0497B"/>
    <w:rsid w:val="00D22F63"/>
    <w:rsid w:val="00D3336A"/>
    <w:rsid w:val="00D345A3"/>
    <w:rsid w:val="00D36099"/>
    <w:rsid w:val="00D36B0E"/>
    <w:rsid w:val="00D5110D"/>
    <w:rsid w:val="00D60240"/>
    <w:rsid w:val="00D7150D"/>
    <w:rsid w:val="00D73723"/>
    <w:rsid w:val="00D84702"/>
    <w:rsid w:val="00DA5D17"/>
    <w:rsid w:val="00DB544A"/>
    <w:rsid w:val="00DB71F1"/>
    <w:rsid w:val="00DC7243"/>
    <w:rsid w:val="00DE1C5D"/>
    <w:rsid w:val="00DE364E"/>
    <w:rsid w:val="00DF4A2C"/>
    <w:rsid w:val="00E048EA"/>
    <w:rsid w:val="00E05871"/>
    <w:rsid w:val="00E05B9C"/>
    <w:rsid w:val="00E159C8"/>
    <w:rsid w:val="00E165FC"/>
    <w:rsid w:val="00E35D68"/>
    <w:rsid w:val="00E372B8"/>
    <w:rsid w:val="00E408A9"/>
    <w:rsid w:val="00E46364"/>
    <w:rsid w:val="00E52110"/>
    <w:rsid w:val="00E56CE7"/>
    <w:rsid w:val="00E6385A"/>
    <w:rsid w:val="00E6538A"/>
    <w:rsid w:val="00E6631C"/>
    <w:rsid w:val="00E733C7"/>
    <w:rsid w:val="00E76853"/>
    <w:rsid w:val="00E768E1"/>
    <w:rsid w:val="00E84938"/>
    <w:rsid w:val="00E859F0"/>
    <w:rsid w:val="00EC38B0"/>
    <w:rsid w:val="00EC7A22"/>
    <w:rsid w:val="00ED043F"/>
    <w:rsid w:val="00ED3B34"/>
    <w:rsid w:val="00ED65C0"/>
    <w:rsid w:val="00EE38DA"/>
    <w:rsid w:val="00EE6CFE"/>
    <w:rsid w:val="00EF61C8"/>
    <w:rsid w:val="00F117C6"/>
    <w:rsid w:val="00F11BAA"/>
    <w:rsid w:val="00F413B6"/>
    <w:rsid w:val="00F46211"/>
    <w:rsid w:val="00F6244F"/>
    <w:rsid w:val="00F77C08"/>
    <w:rsid w:val="00F855DD"/>
    <w:rsid w:val="00FA3359"/>
    <w:rsid w:val="00FB4B16"/>
    <w:rsid w:val="00FD292E"/>
    <w:rsid w:val="00FD3D43"/>
    <w:rsid w:val="00FE1470"/>
    <w:rsid w:val="00FE520B"/>
    <w:rsid w:val="00FE636E"/>
    <w:rsid w:val="00FF3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1A26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end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7C6"/>
    <w:pPr>
      <w:spacing w:after="0" w:line="240" w:lineRule="auto"/>
    </w:pPr>
    <w:rPr>
      <w:rFonts w:eastAsia="Times New Roman" w:cs="Times New Roman"/>
      <w:szCs w:val="24"/>
    </w:rPr>
  </w:style>
  <w:style w:type="paragraph" w:styleId="Heading1">
    <w:name w:val="heading 1"/>
    <w:basedOn w:val="Normal"/>
    <w:next w:val="Normal"/>
    <w:link w:val="Heading1Char"/>
    <w:qFormat/>
    <w:rsid w:val="00F117C6"/>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F117C6"/>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unhideWhenUsed/>
    <w:qFormat/>
    <w:rsid w:val="00C414A6"/>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D00FCF"/>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minders">
    <w:name w:val="Reminders"/>
    <w:basedOn w:val="Normal"/>
    <w:link w:val="RemindersChar"/>
    <w:rsid w:val="00F117C6"/>
    <w:pPr>
      <w:spacing w:before="40" w:after="40"/>
    </w:pPr>
    <w:rPr>
      <w:rFonts w:ascii="Trebuchet MS" w:hAnsi="Trebuchet MS"/>
      <w:i/>
      <w:color w:val="FF0000"/>
    </w:rPr>
  </w:style>
  <w:style w:type="character" w:customStyle="1" w:styleId="RemindersChar">
    <w:name w:val="Reminders Char"/>
    <w:basedOn w:val="DefaultParagraphFont"/>
    <w:link w:val="Reminders"/>
    <w:rsid w:val="00F117C6"/>
    <w:rPr>
      <w:rFonts w:ascii="Trebuchet MS" w:eastAsia="Times New Roman" w:hAnsi="Trebuchet MS" w:cs="Times New Roman"/>
      <w:i/>
      <w:color w:val="FF0000"/>
      <w:szCs w:val="24"/>
    </w:rPr>
  </w:style>
  <w:style w:type="paragraph" w:styleId="Caption">
    <w:name w:val="caption"/>
    <w:basedOn w:val="Normal"/>
    <w:next w:val="Normal"/>
    <w:link w:val="CaptionChar"/>
    <w:qFormat/>
    <w:rsid w:val="00F117C6"/>
    <w:rPr>
      <w:b/>
      <w:bCs/>
      <w:szCs w:val="3276"/>
    </w:rPr>
  </w:style>
  <w:style w:type="character" w:customStyle="1" w:styleId="CaptionChar">
    <w:name w:val="Caption Char"/>
    <w:basedOn w:val="DefaultParagraphFont"/>
    <w:link w:val="Caption"/>
    <w:rsid w:val="00F117C6"/>
    <w:rPr>
      <w:rFonts w:eastAsia="Times New Roman" w:cs="Times New Roman"/>
      <w:b/>
      <w:bCs/>
      <w:szCs w:val="3276"/>
    </w:rPr>
  </w:style>
  <w:style w:type="paragraph" w:styleId="Footer">
    <w:name w:val="footer"/>
    <w:basedOn w:val="Normal"/>
    <w:link w:val="FooterChar"/>
    <w:uiPriority w:val="99"/>
    <w:unhideWhenUsed/>
    <w:rsid w:val="00F117C6"/>
    <w:pPr>
      <w:tabs>
        <w:tab w:val="center" w:pos="4680"/>
        <w:tab w:val="right" w:pos="9360"/>
      </w:tabs>
    </w:pPr>
  </w:style>
  <w:style w:type="character" w:customStyle="1" w:styleId="FooterChar">
    <w:name w:val="Footer Char"/>
    <w:basedOn w:val="DefaultParagraphFont"/>
    <w:link w:val="Footer"/>
    <w:uiPriority w:val="99"/>
    <w:rsid w:val="00F117C6"/>
    <w:rPr>
      <w:rFonts w:eastAsia="Times New Roman" w:cs="Times New Roman"/>
      <w:szCs w:val="24"/>
    </w:rPr>
  </w:style>
  <w:style w:type="paragraph" w:customStyle="1" w:styleId="WPnumber">
    <w:name w:val="WPnumber"/>
    <w:basedOn w:val="Normal"/>
    <w:link w:val="WPnumberChar"/>
    <w:rsid w:val="00F117C6"/>
    <w:pPr>
      <w:jc w:val="right"/>
    </w:pPr>
    <w:rPr>
      <w:rFonts w:cstheme="minorHAnsi"/>
      <w:b/>
      <w:sz w:val="48"/>
      <w:szCs w:val="48"/>
    </w:rPr>
  </w:style>
  <w:style w:type="character" w:customStyle="1" w:styleId="WPnumberChar">
    <w:name w:val="WPnumber Char"/>
    <w:basedOn w:val="DefaultParagraphFont"/>
    <w:link w:val="WPnumber"/>
    <w:rsid w:val="00F117C6"/>
    <w:rPr>
      <w:rFonts w:eastAsia="Times New Roman" w:cstheme="minorHAnsi"/>
      <w:b/>
      <w:sz w:val="48"/>
      <w:szCs w:val="48"/>
    </w:rPr>
  </w:style>
  <w:style w:type="paragraph" w:customStyle="1" w:styleId="Revnumber">
    <w:name w:val="Revnumber"/>
    <w:basedOn w:val="WPnumber"/>
    <w:link w:val="RevnumberChar"/>
    <w:rsid w:val="00F117C6"/>
  </w:style>
  <w:style w:type="character" w:customStyle="1" w:styleId="RevnumberChar">
    <w:name w:val="Revnumber Char"/>
    <w:basedOn w:val="WPnumberChar"/>
    <w:link w:val="Revnumber"/>
    <w:rsid w:val="00F117C6"/>
    <w:rPr>
      <w:rFonts w:eastAsia="Times New Roman" w:cstheme="minorHAnsi"/>
      <w:b/>
      <w:sz w:val="48"/>
      <w:szCs w:val="48"/>
    </w:rPr>
  </w:style>
  <w:style w:type="character" w:styleId="PlaceholderText">
    <w:name w:val="Placeholder Text"/>
    <w:basedOn w:val="DefaultParagraphFont"/>
    <w:uiPriority w:val="99"/>
    <w:semiHidden/>
    <w:rsid w:val="00F117C6"/>
    <w:rPr>
      <w:color w:val="808080"/>
    </w:rPr>
  </w:style>
  <w:style w:type="paragraph" w:styleId="BalloonText">
    <w:name w:val="Balloon Text"/>
    <w:basedOn w:val="Normal"/>
    <w:link w:val="BalloonTextChar"/>
    <w:uiPriority w:val="99"/>
    <w:semiHidden/>
    <w:unhideWhenUsed/>
    <w:rsid w:val="00F117C6"/>
    <w:rPr>
      <w:rFonts w:ascii="Tahoma" w:hAnsi="Tahoma" w:cs="Tahoma"/>
      <w:sz w:val="16"/>
      <w:szCs w:val="16"/>
    </w:rPr>
  </w:style>
  <w:style w:type="character" w:customStyle="1" w:styleId="BalloonTextChar">
    <w:name w:val="Balloon Text Char"/>
    <w:basedOn w:val="DefaultParagraphFont"/>
    <w:link w:val="BalloonText"/>
    <w:uiPriority w:val="99"/>
    <w:semiHidden/>
    <w:rsid w:val="00F117C6"/>
    <w:rPr>
      <w:rFonts w:ascii="Tahoma" w:eastAsia="Times New Roman" w:hAnsi="Tahoma" w:cs="Tahoma"/>
      <w:sz w:val="16"/>
      <w:szCs w:val="16"/>
    </w:rPr>
  </w:style>
  <w:style w:type="character" w:customStyle="1" w:styleId="Heading1Char">
    <w:name w:val="Heading 1 Char"/>
    <w:basedOn w:val="DefaultParagraphFont"/>
    <w:link w:val="Heading1"/>
    <w:rsid w:val="00F117C6"/>
    <w:rPr>
      <w:rFonts w:eastAsia="Times New Roman" w:cs="Arial"/>
      <w:b/>
      <w:bCs/>
      <w:smallCaps/>
      <w:kern w:val="32"/>
      <w:sz w:val="36"/>
      <w:szCs w:val="32"/>
    </w:rPr>
  </w:style>
  <w:style w:type="character" w:customStyle="1" w:styleId="Heading2Char">
    <w:name w:val="Heading 2 Char"/>
    <w:basedOn w:val="DefaultParagraphFont"/>
    <w:link w:val="Heading2"/>
    <w:rsid w:val="00F117C6"/>
    <w:rPr>
      <w:rFonts w:ascii="Arial Narrow" w:eastAsia="Times New Roman" w:hAnsi="Arial Narrow" w:cs="Arial"/>
      <w:b/>
      <w:bCs/>
      <w:iCs/>
      <w:smallCaps/>
      <w:sz w:val="28"/>
      <w:szCs w:val="28"/>
    </w:rPr>
  </w:style>
  <w:style w:type="table" w:customStyle="1" w:styleId="TableGrid1">
    <w:name w:val="Table Grid1"/>
    <w:basedOn w:val="TableNormal"/>
    <w:next w:val="TableGrid"/>
    <w:rsid w:val="00F117C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F1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17C6"/>
    <w:pPr>
      <w:ind w:left="720"/>
      <w:contextualSpacing/>
    </w:pPr>
  </w:style>
  <w:style w:type="paragraph" w:styleId="Header">
    <w:name w:val="header"/>
    <w:basedOn w:val="Normal"/>
    <w:link w:val="HeaderChar"/>
    <w:uiPriority w:val="99"/>
    <w:unhideWhenUsed/>
    <w:rsid w:val="00FE520B"/>
    <w:pPr>
      <w:tabs>
        <w:tab w:val="center" w:pos="4680"/>
        <w:tab w:val="right" w:pos="9360"/>
      </w:tabs>
    </w:pPr>
  </w:style>
  <w:style w:type="character" w:customStyle="1" w:styleId="HeaderChar">
    <w:name w:val="Header Char"/>
    <w:basedOn w:val="DefaultParagraphFont"/>
    <w:link w:val="Header"/>
    <w:uiPriority w:val="99"/>
    <w:rsid w:val="00FE520B"/>
    <w:rPr>
      <w:rFonts w:eastAsia="Times New Roman" w:cs="Times New Roman"/>
      <w:szCs w:val="24"/>
    </w:rPr>
  </w:style>
  <w:style w:type="character" w:customStyle="1" w:styleId="Heading3Char">
    <w:name w:val="Heading 3 Char"/>
    <w:basedOn w:val="DefaultParagraphFont"/>
    <w:link w:val="Heading3"/>
    <w:rsid w:val="00C414A6"/>
    <w:rPr>
      <w:rFonts w:asciiTheme="majorHAnsi" w:eastAsiaTheme="majorEastAsia" w:hAnsiTheme="majorHAnsi" w:cstheme="majorBidi"/>
      <w:b/>
      <w:bCs/>
      <w:color w:val="4F81BD" w:themeColor="accent1"/>
      <w:szCs w:val="24"/>
    </w:rPr>
  </w:style>
  <w:style w:type="character" w:styleId="Strong">
    <w:name w:val="Strong"/>
    <w:qFormat/>
    <w:rsid w:val="00B57F32"/>
    <w:rPr>
      <w:b/>
      <w:bCs/>
    </w:rPr>
  </w:style>
  <w:style w:type="table" w:customStyle="1" w:styleId="TableGrid11">
    <w:name w:val="Table Grid11"/>
    <w:basedOn w:val="TableNormal"/>
    <w:next w:val="TableGrid"/>
    <w:rsid w:val="00B57F32"/>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04D4E"/>
    <w:pPr>
      <w:autoSpaceDE w:val="0"/>
      <w:autoSpaceDN w:val="0"/>
      <w:adjustRightInd w:val="0"/>
      <w:spacing w:after="0" w:line="240" w:lineRule="auto"/>
    </w:pPr>
    <w:rPr>
      <w:rFonts w:ascii="Franklin Gothic Medium Cond" w:hAnsi="Franklin Gothic Medium Cond" w:cs="Franklin Gothic Medium Cond"/>
      <w:color w:val="000000"/>
      <w:sz w:val="24"/>
      <w:szCs w:val="24"/>
    </w:rPr>
  </w:style>
  <w:style w:type="character" w:styleId="Hyperlink">
    <w:name w:val="Hyperlink"/>
    <w:basedOn w:val="DefaultParagraphFont"/>
    <w:uiPriority w:val="99"/>
    <w:unhideWhenUsed/>
    <w:rsid w:val="001B5D6C"/>
    <w:rPr>
      <w:color w:val="0000FF" w:themeColor="hyperlink"/>
      <w:u w:val="single"/>
    </w:rPr>
  </w:style>
  <w:style w:type="character" w:styleId="CommentReference">
    <w:name w:val="annotation reference"/>
    <w:basedOn w:val="DefaultParagraphFont"/>
    <w:uiPriority w:val="99"/>
    <w:semiHidden/>
    <w:unhideWhenUsed/>
    <w:rsid w:val="00DA5D17"/>
    <w:rPr>
      <w:sz w:val="16"/>
      <w:szCs w:val="16"/>
    </w:rPr>
  </w:style>
  <w:style w:type="paragraph" w:styleId="CommentText">
    <w:name w:val="annotation text"/>
    <w:basedOn w:val="Normal"/>
    <w:link w:val="CommentTextChar"/>
    <w:uiPriority w:val="99"/>
    <w:semiHidden/>
    <w:unhideWhenUsed/>
    <w:rsid w:val="00DA5D17"/>
    <w:rPr>
      <w:sz w:val="20"/>
      <w:szCs w:val="20"/>
    </w:rPr>
  </w:style>
  <w:style w:type="character" w:customStyle="1" w:styleId="CommentTextChar">
    <w:name w:val="Comment Text Char"/>
    <w:basedOn w:val="DefaultParagraphFont"/>
    <w:link w:val="CommentText"/>
    <w:uiPriority w:val="99"/>
    <w:semiHidden/>
    <w:rsid w:val="00DA5D17"/>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A5D17"/>
    <w:rPr>
      <w:b/>
      <w:bCs/>
    </w:rPr>
  </w:style>
  <w:style w:type="character" w:customStyle="1" w:styleId="CommentSubjectChar">
    <w:name w:val="Comment Subject Char"/>
    <w:basedOn w:val="CommentTextChar"/>
    <w:link w:val="CommentSubject"/>
    <w:uiPriority w:val="99"/>
    <w:semiHidden/>
    <w:rsid w:val="00DA5D17"/>
    <w:rPr>
      <w:rFonts w:eastAsia="Times New Roman" w:cs="Times New Roman"/>
      <w:b/>
      <w:bCs/>
      <w:sz w:val="20"/>
      <w:szCs w:val="20"/>
    </w:rPr>
  </w:style>
  <w:style w:type="paragraph" w:styleId="EndnoteText">
    <w:name w:val="endnote text"/>
    <w:basedOn w:val="Normal"/>
    <w:link w:val="EndnoteTextChar"/>
    <w:semiHidden/>
    <w:rsid w:val="00D00FCF"/>
    <w:rPr>
      <w:rFonts w:ascii="Times New Roman" w:hAnsi="Times New Roman"/>
      <w:sz w:val="20"/>
      <w:szCs w:val="20"/>
      <w:lang w:val="x-none" w:eastAsia="x-none"/>
    </w:rPr>
  </w:style>
  <w:style w:type="character" w:customStyle="1" w:styleId="EndnoteTextChar">
    <w:name w:val="Endnote Text Char"/>
    <w:basedOn w:val="DefaultParagraphFont"/>
    <w:link w:val="EndnoteText"/>
    <w:semiHidden/>
    <w:rsid w:val="00D00FCF"/>
    <w:rPr>
      <w:rFonts w:ascii="Times New Roman" w:eastAsia="Times New Roman" w:hAnsi="Times New Roman" w:cs="Times New Roman"/>
      <w:sz w:val="20"/>
      <w:szCs w:val="20"/>
      <w:lang w:val="x-none" w:eastAsia="x-none"/>
    </w:rPr>
  </w:style>
  <w:style w:type="character" w:styleId="EndnoteReference">
    <w:name w:val="endnote reference"/>
    <w:semiHidden/>
    <w:rsid w:val="00D00FCF"/>
    <w:rPr>
      <w:vertAlign w:val="superscript"/>
    </w:rPr>
  </w:style>
  <w:style w:type="character" w:customStyle="1" w:styleId="Heading4Char">
    <w:name w:val="Heading 4 Char"/>
    <w:basedOn w:val="DefaultParagraphFont"/>
    <w:link w:val="Heading4"/>
    <w:uiPriority w:val="9"/>
    <w:semiHidden/>
    <w:rsid w:val="00D00FCF"/>
    <w:rPr>
      <w:rFonts w:asciiTheme="majorHAnsi" w:eastAsiaTheme="majorEastAsia" w:hAnsiTheme="majorHAnsi" w:cstheme="majorBidi"/>
      <w:b/>
      <w:bCs/>
      <w:i/>
      <w:iCs/>
      <w:color w:val="4F81BD" w:themeColor="accent1"/>
      <w:szCs w:val="24"/>
    </w:rPr>
  </w:style>
  <w:style w:type="paragraph" w:styleId="Revision">
    <w:name w:val="Revision"/>
    <w:hidden/>
    <w:uiPriority w:val="99"/>
    <w:semiHidden/>
    <w:rsid w:val="00463A00"/>
    <w:pPr>
      <w:spacing w:after="0" w:line="240" w:lineRule="auto"/>
    </w:pPr>
    <w:rPr>
      <w:rFonts w:eastAsia="Times New Roman" w:cs="Times New Roman"/>
      <w:szCs w:val="24"/>
    </w:rPr>
  </w:style>
  <w:style w:type="table" w:styleId="TableContemporary">
    <w:name w:val="Table Contemporary"/>
    <w:aliases w:val="Table Contemporary Black Header,WP Table"/>
    <w:basedOn w:val="TableNormal"/>
    <w:rsid w:val="001D30D2"/>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Reminder">
    <w:name w:val="Reminder"/>
    <w:basedOn w:val="Reminders"/>
    <w:link w:val="ReminderChar"/>
    <w:rsid w:val="00C8526F"/>
  </w:style>
  <w:style w:type="character" w:customStyle="1" w:styleId="ReminderChar">
    <w:name w:val="Reminder Char"/>
    <w:basedOn w:val="RemindersChar"/>
    <w:link w:val="Reminder"/>
    <w:rsid w:val="00C8526F"/>
    <w:rPr>
      <w:rFonts w:ascii="Trebuchet MS" w:eastAsia="Times New Roman" w:hAnsi="Trebuchet MS" w:cs="Times New Roman"/>
      <w:i/>
      <w:color w:val="FF0000"/>
      <w:szCs w:val="24"/>
    </w:rPr>
  </w:style>
  <w:style w:type="character" w:customStyle="1" w:styleId="Strong1">
    <w:name w:val="Strong1"/>
    <w:qFormat/>
    <w:rsid w:val="00C8526F"/>
    <w:rPr>
      <w:b/>
      <w:bCs/>
    </w:rPr>
  </w:style>
  <w:style w:type="paragraph" w:styleId="NoSpacing">
    <w:name w:val="No Spacing"/>
    <w:uiPriority w:val="1"/>
    <w:qFormat/>
    <w:rsid w:val="00C8526F"/>
    <w:pPr>
      <w:spacing w:after="0" w:line="240" w:lineRule="auto"/>
    </w:pPr>
  </w:style>
  <w:style w:type="paragraph" w:styleId="BodyTextIndent">
    <w:name w:val="Body Text Indent"/>
    <w:basedOn w:val="Normal"/>
    <w:link w:val="BodyTextIndentChar"/>
    <w:rsid w:val="00C8526F"/>
    <w:pPr>
      <w:spacing w:before="120" w:after="120"/>
      <w:ind w:left="720"/>
    </w:pPr>
    <w:rPr>
      <w:rFonts w:ascii="Verdana" w:hAnsi="Verdana"/>
      <w:sz w:val="20"/>
      <w:szCs w:val="20"/>
    </w:rPr>
  </w:style>
  <w:style w:type="character" w:customStyle="1" w:styleId="BodyTextIndentChar">
    <w:name w:val="Body Text Indent Char"/>
    <w:basedOn w:val="DefaultParagraphFont"/>
    <w:link w:val="BodyTextIndent"/>
    <w:rsid w:val="00C8526F"/>
    <w:rPr>
      <w:rFonts w:ascii="Verdana" w:eastAsia="Times New Roman" w:hAnsi="Verdana"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end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7C6"/>
    <w:pPr>
      <w:spacing w:after="0" w:line="240" w:lineRule="auto"/>
    </w:pPr>
    <w:rPr>
      <w:rFonts w:eastAsia="Times New Roman" w:cs="Times New Roman"/>
      <w:szCs w:val="24"/>
    </w:rPr>
  </w:style>
  <w:style w:type="paragraph" w:styleId="Heading1">
    <w:name w:val="heading 1"/>
    <w:basedOn w:val="Normal"/>
    <w:next w:val="Normal"/>
    <w:link w:val="Heading1Char"/>
    <w:qFormat/>
    <w:rsid w:val="00F117C6"/>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F117C6"/>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unhideWhenUsed/>
    <w:qFormat/>
    <w:rsid w:val="00C414A6"/>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D00FCF"/>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minders">
    <w:name w:val="Reminders"/>
    <w:basedOn w:val="Normal"/>
    <w:link w:val="RemindersChar"/>
    <w:rsid w:val="00F117C6"/>
    <w:pPr>
      <w:spacing w:before="40" w:after="40"/>
    </w:pPr>
    <w:rPr>
      <w:rFonts w:ascii="Trebuchet MS" w:hAnsi="Trebuchet MS"/>
      <w:i/>
      <w:color w:val="FF0000"/>
    </w:rPr>
  </w:style>
  <w:style w:type="character" w:customStyle="1" w:styleId="RemindersChar">
    <w:name w:val="Reminders Char"/>
    <w:basedOn w:val="DefaultParagraphFont"/>
    <w:link w:val="Reminders"/>
    <w:rsid w:val="00F117C6"/>
    <w:rPr>
      <w:rFonts w:ascii="Trebuchet MS" w:eastAsia="Times New Roman" w:hAnsi="Trebuchet MS" w:cs="Times New Roman"/>
      <w:i/>
      <w:color w:val="FF0000"/>
      <w:szCs w:val="24"/>
    </w:rPr>
  </w:style>
  <w:style w:type="paragraph" w:styleId="Caption">
    <w:name w:val="caption"/>
    <w:basedOn w:val="Normal"/>
    <w:next w:val="Normal"/>
    <w:link w:val="CaptionChar"/>
    <w:qFormat/>
    <w:rsid w:val="00F117C6"/>
    <w:rPr>
      <w:b/>
      <w:bCs/>
      <w:szCs w:val="3276"/>
    </w:rPr>
  </w:style>
  <w:style w:type="character" w:customStyle="1" w:styleId="CaptionChar">
    <w:name w:val="Caption Char"/>
    <w:basedOn w:val="DefaultParagraphFont"/>
    <w:link w:val="Caption"/>
    <w:rsid w:val="00F117C6"/>
    <w:rPr>
      <w:rFonts w:eastAsia="Times New Roman" w:cs="Times New Roman"/>
      <w:b/>
      <w:bCs/>
      <w:szCs w:val="3276"/>
    </w:rPr>
  </w:style>
  <w:style w:type="paragraph" w:styleId="Footer">
    <w:name w:val="footer"/>
    <w:basedOn w:val="Normal"/>
    <w:link w:val="FooterChar"/>
    <w:uiPriority w:val="99"/>
    <w:unhideWhenUsed/>
    <w:rsid w:val="00F117C6"/>
    <w:pPr>
      <w:tabs>
        <w:tab w:val="center" w:pos="4680"/>
        <w:tab w:val="right" w:pos="9360"/>
      </w:tabs>
    </w:pPr>
  </w:style>
  <w:style w:type="character" w:customStyle="1" w:styleId="FooterChar">
    <w:name w:val="Footer Char"/>
    <w:basedOn w:val="DefaultParagraphFont"/>
    <w:link w:val="Footer"/>
    <w:uiPriority w:val="99"/>
    <w:rsid w:val="00F117C6"/>
    <w:rPr>
      <w:rFonts w:eastAsia="Times New Roman" w:cs="Times New Roman"/>
      <w:szCs w:val="24"/>
    </w:rPr>
  </w:style>
  <w:style w:type="paragraph" w:customStyle="1" w:styleId="WPnumber">
    <w:name w:val="WPnumber"/>
    <w:basedOn w:val="Normal"/>
    <w:link w:val="WPnumberChar"/>
    <w:rsid w:val="00F117C6"/>
    <w:pPr>
      <w:jc w:val="right"/>
    </w:pPr>
    <w:rPr>
      <w:rFonts w:cstheme="minorHAnsi"/>
      <w:b/>
      <w:sz w:val="48"/>
      <w:szCs w:val="48"/>
    </w:rPr>
  </w:style>
  <w:style w:type="character" w:customStyle="1" w:styleId="WPnumberChar">
    <w:name w:val="WPnumber Char"/>
    <w:basedOn w:val="DefaultParagraphFont"/>
    <w:link w:val="WPnumber"/>
    <w:rsid w:val="00F117C6"/>
    <w:rPr>
      <w:rFonts w:eastAsia="Times New Roman" w:cstheme="minorHAnsi"/>
      <w:b/>
      <w:sz w:val="48"/>
      <w:szCs w:val="48"/>
    </w:rPr>
  </w:style>
  <w:style w:type="paragraph" w:customStyle="1" w:styleId="Revnumber">
    <w:name w:val="Revnumber"/>
    <w:basedOn w:val="WPnumber"/>
    <w:link w:val="RevnumberChar"/>
    <w:rsid w:val="00F117C6"/>
  </w:style>
  <w:style w:type="character" w:customStyle="1" w:styleId="RevnumberChar">
    <w:name w:val="Revnumber Char"/>
    <w:basedOn w:val="WPnumberChar"/>
    <w:link w:val="Revnumber"/>
    <w:rsid w:val="00F117C6"/>
    <w:rPr>
      <w:rFonts w:eastAsia="Times New Roman" w:cstheme="minorHAnsi"/>
      <w:b/>
      <w:sz w:val="48"/>
      <w:szCs w:val="48"/>
    </w:rPr>
  </w:style>
  <w:style w:type="character" w:styleId="PlaceholderText">
    <w:name w:val="Placeholder Text"/>
    <w:basedOn w:val="DefaultParagraphFont"/>
    <w:uiPriority w:val="99"/>
    <w:semiHidden/>
    <w:rsid w:val="00F117C6"/>
    <w:rPr>
      <w:color w:val="808080"/>
    </w:rPr>
  </w:style>
  <w:style w:type="paragraph" w:styleId="BalloonText">
    <w:name w:val="Balloon Text"/>
    <w:basedOn w:val="Normal"/>
    <w:link w:val="BalloonTextChar"/>
    <w:uiPriority w:val="99"/>
    <w:semiHidden/>
    <w:unhideWhenUsed/>
    <w:rsid w:val="00F117C6"/>
    <w:rPr>
      <w:rFonts w:ascii="Tahoma" w:hAnsi="Tahoma" w:cs="Tahoma"/>
      <w:sz w:val="16"/>
      <w:szCs w:val="16"/>
    </w:rPr>
  </w:style>
  <w:style w:type="character" w:customStyle="1" w:styleId="BalloonTextChar">
    <w:name w:val="Balloon Text Char"/>
    <w:basedOn w:val="DefaultParagraphFont"/>
    <w:link w:val="BalloonText"/>
    <w:uiPriority w:val="99"/>
    <w:semiHidden/>
    <w:rsid w:val="00F117C6"/>
    <w:rPr>
      <w:rFonts w:ascii="Tahoma" w:eastAsia="Times New Roman" w:hAnsi="Tahoma" w:cs="Tahoma"/>
      <w:sz w:val="16"/>
      <w:szCs w:val="16"/>
    </w:rPr>
  </w:style>
  <w:style w:type="character" w:customStyle="1" w:styleId="Heading1Char">
    <w:name w:val="Heading 1 Char"/>
    <w:basedOn w:val="DefaultParagraphFont"/>
    <w:link w:val="Heading1"/>
    <w:rsid w:val="00F117C6"/>
    <w:rPr>
      <w:rFonts w:eastAsia="Times New Roman" w:cs="Arial"/>
      <w:b/>
      <w:bCs/>
      <w:smallCaps/>
      <w:kern w:val="32"/>
      <w:sz w:val="36"/>
      <w:szCs w:val="32"/>
    </w:rPr>
  </w:style>
  <w:style w:type="character" w:customStyle="1" w:styleId="Heading2Char">
    <w:name w:val="Heading 2 Char"/>
    <w:basedOn w:val="DefaultParagraphFont"/>
    <w:link w:val="Heading2"/>
    <w:rsid w:val="00F117C6"/>
    <w:rPr>
      <w:rFonts w:ascii="Arial Narrow" w:eastAsia="Times New Roman" w:hAnsi="Arial Narrow" w:cs="Arial"/>
      <w:b/>
      <w:bCs/>
      <w:iCs/>
      <w:smallCaps/>
      <w:sz w:val="28"/>
      <w:szCs w:val="28"/>
    </w:rPr>
  </w:style>
  <w:style w:type="table" w:customStyle="1" w:styleId="TableGrid1">
    <w:name w:val="Table Grid1"/>
    <w:basedOn w:val="TableNormal"/>
    <w:next w:val="TableGrid"/>
    <w:rsid w:val="00F117C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F1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17C6"/>
    <w:pPr>
      <w:ind w:left="720"/>
      <w:contextualSpacing/>
    </w:pPr>
  </w:style>
  <w:style w:type="paragraph" w:styleId="Header">
    <w:name w:val="header"/>
    <w:basedOn w:val="Normal"/>
    <w:link w:val="HeaderChar"/>
    <w:uiPriority w:val="99"/>
    <w:unhideWhenUsed/>
    <w:rsid w:val="00FE520B"/>
    <w:pPr>
      <w:tabs>
        <w:tab w:val="center" w:pos="4680"/>
        <w:tab w:val="right" w:pos="9360"/>
      </w:tabs>
    </w:pPr>
  </w:style>
  <w:style w:type="character" w:customStyle="1" w:styleId="HeaderChar">
    <w:name w:val="Header Char"/>
    <w:basedOn w:val="DefaultParagraphFont"/>
    <w:link w:val="Header"/>
    <w:uiPriority w:val="99"/>
    <w:rsid w:val="00FE520B"/>
    <w:rPr>
      <w:rFonts w:eastAsia="Times New Roman" w:cs="Times New Roman"/>
      <w:szCs w:val="24"/>
    </w:rPr>
  </w:style>
  <w:style w:type="character" w:customStyle="1" w:styleId="Heading3Char">
    <w:name w:val="Heading 3 Char"/>
    <w:basedOn w:val="DefaultParagraphFont"/>
    <w:link w:val="Heading3"/>
    <w:rsid w:val="00C414A6"/>
    <w:rPr>
      <w:rFonts w:asciiTheme="majorHAnsi" w:eastAsiaTheme="majorEastAsia" w:hAnsiTheme="majorHAnsi" w:cstheme="majorBidi"/>
      <w:b/>
      <w:bCs/>
      <w:color w:val="4F81BD" w:themeColor="accent1"/>
      <w:szCs w:val="24"/>
    </w:rPr>
  </w:style>
  <w:style w:type="character" w:styleId="Strong">
    <w:name w:val="Strong"/>
    <w:qFormat/>
    <w:rsid w:val="00B57F32"/>
    <w:rPr>
      <w:b/>
      <w:bCs/>
    </w:rPr>
  </w:style>
  <w:style w:type="table" w:customStyle="1" w:styleId="TableGrid11">
    <w:name w:val="Table Grid11"/>
    <w:basedOn w:val="TableNormal"/>
    <w:next w:val="TableGrid"/>
    <w:rsid w:val="00B57F32"/>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04D4E"/>
    <w:pPr>
      <w:autoSpaceDE w:val="0"/>
      <w:autoSpaceDN w:val="0"/>
      <w:adjustRightInd w:val="0"/>
      <w:spacing w:after="0" w:line="240" w:lineRule="auto"/>
    </w:pPr>
    <w:rPr>
      <w:rFonts w:ascii="Franklin Gothic Medium Cond" w:hAnsi="Franklin Gothic Medium Cond" w:cs="Franklin Gothic Medium Cond"/>
      <w:color w:val="000000"/>
      <w:sz w:val="24"/>
      <w:szCs w:val="24"/>
    </w:rPr>
  </w:style>
  <w:style w:type="character" w:styleId="Hyperlink">
    <w:name w:val="Hyperlink"/>
    <w:basedOn w:val="DefaultParagraphFont"/>
    <w:uiPriority w:val="99"/>
    <w:unhideWhenUsed/>
    <w:rsid w:val="001B5D6C"/>
    <w:rPr>
      <w:color w:val="0000FF" w:themeColor="hyperlink"/>
      <w:u w:val="single"/>
    </w:rPr>
  </w:style>
  <w:style w:type="character" w:styleId="CommentReference">
    <w:name w:val="annotation reference"/>
    <w:basedOn w:val="DefaultParagraphFont"/>
    <w:uiPriority w:val="99"/>
    <w:semiHidden/>
    <w:unhideWhenUsed/>
    <w:rsid w:val="00DA5D17"/>
    <w:rPr>
      <w:sz w:val="16"/>
      <w:szCs w:val="16"/>
    </w:rPr>
  </w:style>
  <w:style w:type="paragraph" w:styleId="CommentText">
    <w:name w:val="annotation text"/>
    <w:basedOn w:val="Normal"/>
    <w:link w:val="CommentTextChar"/>
    <w:uiPriority w:val="99"/>
    <w:semiHidden/>
    <w:unhideWhenUsed/>
    <w:rsid w:val="00DA5D17"/>
    <w:rPr>
      <w:sz w:val="20"/>
      <w:szCs w:val="20"/>
    </w:rPr>
  </w:style>
  <w:style w:type="character" w:customStyle="1" w:styleId="CommentTextChar">
    <w:name w:val="Comment Text Char"/>
    <w:basedOn w:val="DefaultParagraphFont"/>
    <w:link w:val="CommentText"/>
    <w:uiPriority w:val="99"/>
    <w:semiHidden/>
    <w:rsid w:val="00DA5D17"/>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A5D17"/>
    <w:rPr>
      <w:b/>
      <w:bCs/>
    </w:rPr>
  </w:style>
  <w:style w:type="character" w:customStyle="1" w:styleId="CommentSubjectChar">
    <w:name w:val="Comment Subject Char"/>
    <w:basedOn w:val="CommentTextChar"/>
    <w:link w:val="CommentSubject"/>
    <w:uiPriority w:val="99"/>
    <w:semiHidden/>
    <w:rsid w:val="00DA5D17"/>
    <w:rPr>
      <w:rFonts w:eastAsia="Times New Roman" w:cs="Times New Roman"/>
      <w:b/>
      <w:bCs/>
      <w:sz w:val="20"/>
      <w:szCs w:val="20"/>
    </w:rPr>
  </w:style>
  <w:style w:type="paragraph" w:styleId="EndnoteText">
    <w:name w:val="endnote text"/>
    <w:basedOn w:val="Normal"/>
    <w:link w:val="EndnoteTextChar"/>
    <w:semiHidden/>
    <w:rsid w:val="00D00FCF"/>
    <w:rPr>
      <w:rFonts w:ascii="Times New Roman" w:hAnsi="Times New Roman"/>
      <w:sz w:val="20"/>
      <w:szCs w:val="20"/>
      <w:lang w:val="x-none" w:eastAsia="x-none"/>
    </w:rPr>
  </w:style>
  <w:style w:type="character" w:customStyle="1" w:styleId="EndnoteTextChar">
    <w:name w:val="Endnote Text Char"/>
    <w:basedOn w:val="DefaultParagraphFont"/>
    <w:link w:val="EndnoteText"/>
    <w:semiHidden/>
    <w:rsid w:val="00D00FCF"/>
    <w:rPr>
      <w:rFonts w:ascii="Times New Roman" w:eastAsia="Times New Roman" w:hAnsi="Times New Roman" w:cs="Times New Roman"/>
      <w:sz w:val="20"/>
      <w:szCs w:val="20"/>
      <w:lang w:val="x-none" w:eastAsia="x-none"/>
    </w:rPr>
  </w:style>
  <w:style w:type="character" w:styleId="EndnoteReference">
    <w:name w:val="endnote reference"/>
    <w:semiHidden/>
    <w:rsid w:val="00D00FCF"/>
    <w:rPr>
      <w:vertAlign w:val="superscript"/>
    </w:rPr>
  </w:style>
  <w:style w:type="character" w:customStyle="1" w:styleId="Heading4Char">
    <w:name w:val="Heading 4 Char"/>
    <w:basedOn w:val="DefaultParagraphFont"/>
    <w:link w:val="Heading4"/>
    <w:uiPriority w:val="9"/>
    <w:semiHidden/>
    <w:rsid w:val="00D00FCF"/>
    <w:rPr>
      <w:rFonts w:asciiTheme="majorHAnsi" w:eastAsiaTheme="majorEastAsia" w:hAnsiTheme="majorHAnsi" w:cstheme="majorBidi"/>
      <w:b/>
      <w:bCs/>
      <w:i/>
      <w:iCs/>
      <w:color w:val="4F81BD" w:themeColor="accent1"/>
      <w:szCs w:val="24"/>
    </w:rPr>
  </w:style>
  <w:style w:type="paragraph" w:styleId="Revision">
    <w:name w:val="Revision"/>
    <w:hidden/>
    <w:uiPriority w:val="99"/>
    <w:semiHidden/>
    <w:rsid w:val="00463A00"/>
    <w:pPr>
      <w:spacing w:after="0" w:line="240" w:lineRule="auto"/>
    </w:pPr>
    <w:rPr>
      <w:rFonts w:eastAsia="Times New Roman" w:cs="Times New Roman"/>
      <w:szCs w:val="24"/>
    </w:rPr>
  </w:style>
  <w:style w:type="table" w:styleId="TableContemporary">
    <w:name w:val="Table Contemporary"/>
    <w:aliases w:val="Table Contemporary Black Header,WP Table"/>
    <w:basedOn w:val="TableNormal"/>
    <w:rsid w:val="001D30D2"/>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Reminder">
    <w:name w:val="Reminder"/>
    <w:basedOn w:val="Reminders"/>
    <w:link w:val="ReminderChar"/>
    <w:rsid w:val="00C8526F"/>
  </w:style>
  <w:style w:type="character" w:customStyle="1" w:styleId="ReminderChar">
    <w:name w:val="Reminder Char"/>
    <w:basedOn w:val="RemindersChar"/>
    <w:link w:val="Reminder"/>
    <w:rsid w:val="00C8526F"/>
    <w:rPr>
      <w:rFonts w:ascii="Trebuchet MS" w:eastAsia="Times New Roman" w:hAnsi="Trebuchet MS" w:cs="Times New Roman"/>
      <w:i/>
      <w:color w:val="FF0000"/>
      <w:szCs w:val="24"/>
    </w:rPr>
  </w:style>
  <w:style w:type="character" w:customStyle="1" w:styleId="Strong1">
    <w:name w:val="Strong1"/>
    <w:qFormat/>
    <w:rsid w:val="00C8526F"/>
    <w:rPr>
      <w:b/>
      <w:bCs/>
    </w:rPr>
  </w:style>
  <w:style w:type="paragraph" w:styleId="NoSpacing">
    <w:name w:val="No Spacing"/>
    <w:uiPriority w:val="1"/>
    <w:qFormat/>
    <w:rsid w:val="00C8526F"/>
    <w:pPr>
      <w:spacing w:after="0" w:line="240" w:lineRule="auto"/>
    </w:pPr>
  </w:style>
  <w:style w:type="paragraph" w:styleId="BodyTextIndent">
    <w:name w:val="Body Text Indent"/>
    <w:basedOn w:val="Normal"/>
    <w:link w:val="BodyTextIndentChar"/>
    <w:rsid w:val="00C8526F"/>
    <w:pPr>
      <w:spacing w:before="120" w:after="120"/>
      <w:ind w:left="720"/>
    </w:pPr>
    <w:rPr>
      <w:rFonts w:ascii="Verdana" w:hAnsi="Verdana"/>
      <w:sz w:val="20"/>
      <w:szCs w:val="20"/>
    </w:rPr>
  </w:style>
  <w:style w:type="character" w:customStyle="1" w:styleId="BodyTextIndentChar">
    <w:name w:val="Body Text Indent Char"/>
    <w:basedOn w:val="DefaultParagraphFont"/>
    <w:link w:val="BodyTextIndent"/>
    <w:rsid w:val="00C8526F"/>
    <w:rPr>
      <w:rFonts w:ascii="Verdana" w:eastAsia="Times New Roman" w:hAnsi="Verdana"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798036">
      <w:bodyDiv w:val="1"/>
      <w:marLeft w:val="0"/>
      <w:marRight w:val="0"/>
      <w:marTop w:val="0"/>
      <w:marBottom w:val="0"/>
      <w:divBdr>
        <w:top w:val="none" w:sz="0" w:space="0" w:color="auto"/>
        <w:left w:val="none" w:sz="0" w:space="0" w:color="auto"/>
        <w:bottom w:val="none" w:sz="0" w:space="0" w:color="auto"/>
        <w:right w:val="none" w:sz="0" w:space="0" w:color="auto"/>
      </w:divBdr>
    </w:div>
    <w:div w:id="1884632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2018-06-04T00:00:00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EF4C7C9-672E-4F76-A2C5-237599E89E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0A9EF63-BA53-443E-9F13-BE60A9C3E961}">
  <ds:schemaRefs>
    <ds:schemaRef ds:uri="http://purl.org/dc/dcmitype/"/>
    <ds:schemaRef ds:uri="http://purl.org/dc/terms/"/>
    <ds:schemaRef ds:uri="http://schemas.microsoft.com/office/infopath/2007/PartnerControls"/>
    <ds:schemaRef ds:uri="http://purl.org/dc/elements/1.1/"/>
    <ds:schemaRef ds:uri="http://schemas.microsoft.com/office/2006/documentManagement/types"/>
    <ds:schemaRef ds:uri="http://schemas.openxmlformats.org/package/2006/metadata/core-properti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16273B3A-7B4A-4F7C-8605-683BD53B6D8E}">
  <ds:schemaRefs>
    <ds:schemaRef ds:uri="http://schemas.microsoft.com/sharepoint/v3/contenttype/forms"/>
  </ds:schemaRefs>
</ds:datastoreItem>
</file>

<file path=customXml/itemProps5.xml><?xml version="1.0" encoding="utf-8"?>
<ds:datastoreItem xmlns:ds="http://schemas.openxmlformats.org/officeDocument/2006/customXml" ds:itemID="{3EC4E839-D5B1-4B80-ACEA-D9D47F617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795</Words>
  <Characters>4536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SCE17CC014</vt:lpstr>
    </vt:vector>
  </TitlesOfParts>
  <LinksUpToDate>false</LinksUpToDate>
  <CharactersWithSpaces>5321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SCE17CC014</dc:title>
  <dc:creator/>
  <cp:lastModifiedBy/>
  <cp:revision>1</cp:revision>
  <dcterms:created xsi:type="dcterms:W3CDTF">2017-03-31T23:16:00Z</dcterms:created>
  <dcterms:modified xsi:type="dcterms:W3CDTF">2018-06-04T23:26:00Z</dcterms:modified>
  <cp:contentStatus>Revision 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ies>
</file>